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45611862"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F527D">
            <w:rPr>
              <w:rFonts w:ascii="Arial" w:hAnsi="Arial" w:cs="Arial"/>
              <w:b/>
              <w:sz w:val="24"/>
            </w:rPr>
            <w:t>#9</w:t>
          </w:r>
          <w:r w:rsidR="00DD5E89">
            <w:rPr>
              <w:rFonts w:ascii="Arial" w:hAnsi="Arial" w:cs="Arial"/>
              <w:b/>
              <w:sz w:val="24"/>
            </w:rPr>
            <w:t>7</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DD5E89">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r w:rsidR="00B65E95" w:rsidRPr="00B65E95">
        <w:rPr>
          <w:rFonts w:ascii="Arial" w:hAnsi="Arial" w:cs="Arial"/>
          <w:b/>
          <w:sz w:val="24"/>
        </w:rPr>
        <w:t>R1-</w:t>
      </w:r>
      <w:r w:rsidR="00336052" w:rsidRPr="00336052">
        <w:rPr>
          <w:rFonts w:ascii="Arial" w:hAnsi="Arial" w:cs="Arial"/>
          <w:b/>
          <w:sz w:val="24"/>
        </w:rPr>
        <w:t>1906772</w:t>
      </w:r>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37A00B33" w:rsidR="00425159" w:rsidRPr="00425159" w:rsidRDefault="00DD5E89" w:rsidP="00425159">
          <w:pPr>
            <w:spacing w:after="0"/>
            <w:ind w:left="1988" w:hanging="1988"/>
            <w:jc w:val="both"/>
            <w:rPr>
              <w:rFonts w:ascii="Arial" w:hAnsi="Arial" w:cs="Arial"/>
              <w:b/>
              <w:sz w:val="24"/>
            </w:rPr>
          </w:pPr>
          <w:r>
            <w:rPr>
              <w:rFonts w:ascii="Arial" w:hAnsi="Arial" w:cs="Arial"/>
              <w:b/>
              <w:sz w:val="24"/>
            </w:rPr>
            <w:t>Reno</w:t>
          </w:r>
          <w:r w:rsidR="0037431C" w:rsidRPr="00E16928">
            <w:rPr>
              <w:rFonts w:ascii="Arial" w:hAnsi="Arial" w:cs="Arial"/>
              <w:b/>
              <w:sz w:val="24"/>
            </w:rPr>
            <w:t xml:space="preserve">, </w:t>
          </w:r>
          <w:r>
            <w:rPr>
              <w:rFonts w:ascii="Arial" w:hAnsi="Arial" w:cs="Arial"/>
              <w:b/>
              <w:sz w:val="24"/>
            </w:rPr>
            <w:t>USA</w:t>
          </w:r>
          <w:r w:rsidR="0037431C" w:rsidRPr="00E16928">
            <w:rPr>
              <w:rFonts w:ascii="Arial" w:hAnsi="Arial" w:cs="Arial"/>
              <w:b/>
              <w:sz w:val="24"/>
            </w:rPr>
            <w:t xml:space="preserve">, </w:t>
          </w:r>
          <w:r>
            <w:rPr>
              <w:rFonts w:ascii="Arial" w:hAnsi="Arial" w:cs="Arial"/>
              <w:b/>
              <w:sz w:val="24"/>
            </w:rPr>
            <w:t>13</w:t>
          </w:r>
          <w:r w:rsidR="0037431C" w:rsidRPr="00E16928">
            <w:rPr>
              <w:rFonts w:ascii="Arial" w:hAnsi="Arial" w:cs="Arial"/>
              <w:b/>
              <w:sz w:val="24"/>
            </w:rPr>
            <w:t xml:space="preserve">th – </w:t>
          </w:r>
          <w:r w:rsidR="0037431C">
            <w:rPr>
              <w:rFonts w:ascii="Arial" w:hAnsi="Arial" w:cs="Arial"/>
              <w:b/>
              <w:sz w:val="24"/>
            </w:rPr>
            <w:t>1</w:t>
          </w:r>
          <w:r>
            <w:rPr>
              <w:rFonts w:ascii="Arial" w:hAnsi="Arial" w:cs="Arial"/>
              <w:b/>
              <w:sz w:val="24"/>
            </w:rPr>
            <w:t>7</w:t>
          </w:r>
          <w:r w:rsidR="0037431C" w:rsidRPr="00E16928">
            <w:rPr>
              <w:rFonts w:ascii="Arial" w:hAnsi="Arial" w:cs="Arial"/>
              <w:b/>
              <w:sz w:val="24"/>
            </w:rPr>
            <w:t>t</w:t>
          </w:r>
          <w:r w:rsidR="0037431C">
            <w:rPr>
              <w:rFonts w:ascii="Arial" w:hAnsi="Arial" w:cs="Arial"/>
              <w:b/>
              <w:sz w:val="24"/>
            </w:rPr>
            <w:t xml:space="preserve">h </w:t>
          </w:r>
          <w:r>
            <w:rPr>
              <w:rFonts w:ascii="Arial" w:hAnsi="Arial" w:cs="Arial"/>
              <w:b/>
              <w:sz w:val="24"/>
            </w:rPr>
            <w:t>May</w:t>
          </w:r>
          <w:r w:rsidR="0037431C">
            <w:rPr>
              <w:rFonts w:ascii="Arial" w:hAnsi="Arial" w:cs="Arial"/>
              <w:b/>
              <w:sz w:val="24"/>
            </w:rPr>
            <w:t>, 2019</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173666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7036C" w:rsidRPr="004D6E0A">
            <w:rPr>
              <w:rFonts w:ascii="Arial" w:hAnsi="Arial" w:cs="Arial"/>
              <w:b/>
              <w:sz w:val="24"/>
            </w:rPr>
            <w:t xml:space="preserve">UE-group wake-up signal for </w:t>
          </w:r>
          <w:r w:rsidR="0047036C" w:rsidRPr="00973B18">
            <w:rPr>
              <w:rFonts w:ascii="Arial" w:hAnsi="Arial" w:cs="Arial"/>
              <w:b/>
              <w:sz w:val="24"/>
            </w:rPr>
            <w:t>NB-IoT</w:t>
          </w:r>
        </w:sdtContent>
      </w:sdt>
    </w:p>
    <w:p w14:paraId="233C83DF" w14:textId="7E4E22FA"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w:t>
      </w:r>
      <w:r w:rsidR="00864D25">
        <w:rPr>
          <w:rFonts w:ascii="Arial" w:hAnsi="Arial" w:cs="Arial"/>
          <w:b/>
          <w:sz w:val="24"/>
        </w:rPr>
        <w:t>2</w:t>
      </w:r>
      <w:r w:rsidR="004B4806" w:rsidRPr="004B4806">
        <w:rPr>
          <w:rFonts w:ascii="Arial" w:hAnsi="Arial" w:cs="Arial"/>
          <w:b/>
          <w:sz w:val="24"/>
        </w:rPr>
        <w:t>.</w:t>
      </w:r>
      <w:r w:rsidR="004D6E0A">
        <w:rPr>
          <w:rFonts w:ascii="Arial" w:hAnsi="Arial" w:cs="Arial"/>
          <w:b/>
          <w:sz w:val="24"/>
        </w:rPr>
        <w:t>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2E6B4AD2" w14:textId="1BAC9275" w:rsidR="00EC77F9" w:rsidRDefault="00C759EF" w:rsidP="00366D26">
      <w:pPr>
        <w:pStyle w:val="TdocText"/>
      </w:pPr>
      <w:r w:rsidRPr="008D515B">
        <w:rPr>
          <w:lang w:eastAsia="zh-CN"/>
        </w:rPr>
        <w:t xml:space="preserve">In </w:t>
      </w:r>
      <w:r>
        <w:rPr>
          <w:lang w:eastAsia="zh-CN"/>
        </w:rPr>
        <w:t xml:space="preserve">RAN#80 a new work item (WI) on </w:t>
      </w:r>
      <w:r w:rsidRPr="000D588D">
        <w:rPr>
          <w:lang w:eastAsia="zh-CN"/>
        </w:rPr>
        <w:t xml:space="preserve">Rel-16 enhancements for </w:t>
      </w:r>
      <w:r>
        <w:rPr>
          <w:lang w:eastAsia="zh-CN"/>
        </w:rPr>
        <w:t xml:space="preserve">NB-IoT was agreed. One of the WI objectives is to improve </w:t>
      </w:r>
      <w:r w:rsidRPr="007C1E8B">
        <w:rPr>
          <w:lang w:eastAsia="zh-CN"/>
        </w:rPr>
        <w:t>DL transmission efficiency and/or UE power consumption</w:t>
      </w:r>
      <w:r>
        <w:rPr>
          <w:lang w:eastAsia="zh-CN"/>
        </w:rPr>
        <w:t xml:space="preserve"> </w:t>
      </w:r>
      <w:r>
        <w:rPr>
          <w:lang w:eastAsia="zh-CN"/>
        </w:rPr>
        <w:fldChar w:fldCharType="begin"/>
      </w:r>
      <w:r>
        <w:rPr>
          <w:lang w:eastAsia="zh-CN"/>
        </w:rPr>
        <w:instrText xml:space="preserve"> REF _Ref513808269 \r \h  \* MERGEFORMAT </w:instrText>
      </w:r>
      <w:r>
        <w:rPr>
          <w:lang w:eastAsia="zh-CN"/>
        </w:rPr>
      </w:r>
      <w:r>
        <w:rPr>
          <w:lang w:eastAsia="zh-CN"/>
        </w:rPr>
        <w:fldChar w:fldCharType="separate"/>
      </w:r>
      <w:r w:rsidR="00B92875">
        <w:rPr>
          <w:lang w:eastAsia="zh-CN"/>
        </w:rPr>
        <w:t>[1]</w:t>
      </w:r>
      <w:r>
        <w:rPr>
          <w:lang w:eastAsia="zh-CN"/>
        </w:rPr>
        <w:fldChar w:fldCharType="end"/>
      </w:r>
      <w:r>
        <w:rPr>
          <w:lang w:eastAsia="zh-CN"/>
        </w:rPr>
        <w:t xml:space="preserve">. In particular, </w:t>
      </w:r>
      <w:r w:rsidRPr="00A35853">
        <w:rPr>
          <w:szCs w:val="22"/>
          <w:lang w:eastAsia="zh-CN"/>
        </w:rPr>
        <w:t>specify support for UE-group wake-up signal (WUS)</w:t>
      </w:r>
      <w:r>
        <w:rPr>
          <w:lang w:eastAsia="zh-CN"/>
        </w:rPr>
        <w:t>.</w:t>
      </w:r>
    </w:p>
    <w:p w14:paraId="69FAA165" w14:textId="544B0341" w:rsidR="00EC77F9" w:rsidRDefault="00EC77F9" w:rsidP="00366D26">
      <w:pPr>
        <w:pStyle w:val="TdocText"/>
      </w:pPr>
      <w:r>
        <w:t>In the previous</w:t>
      </w:r>
      <w:r w:rsidR="00657B8F">
        <w:t xml:space="preserve"> regular</w:t>
      </w:r>
      <w:r>
        <w:t xml:space="preserve"> RAN1#</w:t>
      </w:r>
      <w:r w:rsidR="00FD74BB">
        <w:t>96</w:t>
      </w:r>
      <w:r w:rsidR="004B09E9">
        <w:t>bis</w:t>
      </w:r>
      <w:r w:rsidR="00FD74BB">
        <w:t xml:space="preserve"> </w:t>
      </w:r>
      <w:r>
        <w:t>meeting, the following agreements regarding UE-group WUS were made</w:t>
      </w:r>
      <w:r w:rsidR="00BF183C">
        <w:t xml:space="preserve"> </w:t>
      </w:r>
      <w:r w:rsidR="00BF183C">
        <w:fldChar w:fldCharType="begin"/>
      </w:r>
      <w:r w:rsidR="00BF183C">
        <w:instrText xml:space="preserve"> REF _Ref525477075 \r \h </w:instrText>
      </w:r>
      <w:r w:rsidR="00BF183C">
        <w:fldChar w:fldCharType="separate"/>
      </w:r>
      <w:r w:rsidR="00B92875">
        <w:t>[2]</w:t>
      </w:r>
      <w:r w:rsidR="00BF183C">
        <w:fldChar w:fldCharType="end"/>
      </w:r>
      <w:r>
        <w:t>:</w:t>
      </w:r>
    </w:p>
    <w:tbl>
      <w:tblPr>
        <w:tblStyle w:val="TableGrid1"/>
        <w:tblW w:w="10065" w:type="dxa"/>
        <w:tblInd w:w="-5" w:type="dxa"/>
        <w:tblLook w:val="04A0" w:firstRow="1" w:lastRow="0" w:firstColumn="1" w:lastColumn="0" w:noHBand="0" w:noVBand="1"/>
      </w:tblPr>
      <w:tblGrid>
        <w:gridCol w:w="10065"/>
      </w:tblGrid>
      <w:tr w:rsidR="00B56224" w:rsidRPr="006B6BFE" w14:paraId="536B9DA7" w14:textId="77777777" w:rsidTr="00495855">
        <w:tc>
          <w:tcPr>
            <w:tcW w:w="10065" w:type="dxa"/>
          </w:tcPr>
          <w:p w14:paraId="7EC3423C" w14:textId="77777777" w:rsidR="006B6BFE" w:rsidRPr="006B6BFE" w:rsidRDefault="006B6BFE" w:rsidP="006B6BFE">
            <w:pPr>
              <w:pStyle w:val="Proposal"/>
              <w:numPr>
                <w:ilvl w:val="0"/>
                <w:numId w:val="0"/>
              </w:numPr>
              <w:rPr>
                <w:rFonts w:ascii="Times New Roman" w:hAnsi="Times New Roman" w:cs="Times New Roman"/>
                <w:b/>
                <w:i w:val="0"/>
                <w:sz w:val="20"/>
                <w:highlight w:val="green"/>
                <w:lang w:eastAsia="ja-JP"/>
              </w:rPr>
            </w:pPr>
            <w:bookmarkStart w:id="0" w:name="_Toc5719908"/>
            <w:bookmarkStart w:id="1" w:name="_Ref5352343"/>
            <w:r w:rsidRPr="006B6BFE">
              <w:rPr>
                <w:rFonts w:ascii="Times New Roman" w:hAnsi="Times New Roman" w:cs="Times New Roman"/>
                <w:b/>
                <w:i w:val="0"/>
                <w:sz w:val="20"/>
                <w:highlight w:val="green"/>
                <w:lang w:eastAsia="ja-JP"/>
              </w:rPr>
              <w:t>Agreement</w:t>
            </w:r>
          </w:p>
          <w:p w14:paraId="23D0E891" w14:textId="77777777" w:rsidR="006B6BFE" w:rsidRPr="006B6BFE" w:rsidRDefault="006B6BFE" w:rsidP="006B6BFE">
            <w:pPr>
              <w:pStyle w:val="Proposal"/>
              <w:tabs>
                <w:tab w:val="left" w:pos="0"/>
              </w:tabs>
              <w:ind w:left="0" w:firstLine="0"/>
              <w:rPr>
                <w:rFonts w:ascii="Times New Roman" w:hAnsi="Times New Roman" w:cs="Times New Roman"/>
                <w:b/>
                <w:sz w:val="20"/>
                <w:lang w:eastAsia="ja-JP"/>
              </w:rPr>
            </w:pPr>
            <w:r w:rsidRPr="006B6BFE">
              <w:rPr>
                <w:rFonts w:ascii="Times New Roman" w:hAnsi="Times New Roman" w:cs="Times New Roman"/>
                <w:sz w:val="20"/>
                <w:lang w:eastAsia="ja-JP"/>
              </w:rPr>
              <w:t>Up to 2 time-multiplexed WUS resources, for both legacy WUS and group WUS, may be configured. FFS whether a group WUS resource may be shared with legacy WUS or not.</w:t>
            </w:r>
            <w:bookmarkEnd w:id="0"/>
            <w:bookmarkEnd w:id="1"/>
          </w:p>
          <w:p w14:paraId="2076C464" w14:textId="77777777" w:rsidR="006B6BFE" w:rsidRPr="006B6BFE" w:rsidRDefault="006B6BFE" w:rsidP="006B6BFE">
            <w:pPr>
              <w:rPr>
                <w:rFonts w:cs="Times New Roman"/>
                <w:sz w:val="20"/>
                <w:lang w:eastAsia="x-none"/>
              </w:rPr>
            </w:pPr>
          </w:p>
          <w:p w14:paraId="0758EF46" w14:textId="77777777" w:rsidR="006B6BFE" w:rsidRPr="006B6BFE" w:rsidRDefault="006B6BFE" w:rsidP="006B6BFE">
            <w:pPr>
              <w:pStyle w:val="Proposal"/>
              <w:numPr>
                <w:ilvl w:val="0"/>
                <w:numId w:val="0"/>
              </w:numPr>
              <w:rPr>
                <w:rFonts w:ascii="Times New Roman" w:hAnsi="Times New Roman" w:cs="Times New Roman"/>
                <w:b/>
                <w:i w:val="0"/>
                <w:sz w:val="20"/>
                <w:highlight w:val="green"/>
                <w:lang w:eastAsia="ja-JP"/>
              </w:rPr>
            </w:pPr>
            <w:bookmarkStart w:id="2" w:name="_Toc5719912"/>
            <w:r w:rsidRPr="006B6BFE">
              <w:rPr>
                <w:rFonts w:ascii="Times New Roman" w:hAnsi="Times New Roman" w:cs="Times New Roman"/>
                <w:b/>
                <w:i w:val="0"/>
                <w:sz w:val="20"/>
                <w:highlight w:val="green"/>
                <w:lang w:eastAsia="ja-JP"/>
              </w:rPr>
              <w:t>Agreement</w:t>
            </w:r>
          </w:p>
          <w:p w14:paraId="79DFF3B8" w14:textId="77777777" w:rsidR="006B6BFE" w:rsidRPr="006B6BFE" w:rsidRDefault="006B6BFE" w:rsidP="006B6BFE">
            <w:pPr>
              <w:pStyle w:val="Proposal"/>
              <w:ind w:left="0" w:firstLine="0"/>
              <w:rPr>
                <w:rFonts w:ascii="Times New Roman" w:hAnsi="Times New Roman" w:cs="Times New Roman"/>
                <w:b/>
                <w:sz w:val="20"/>
                <w:lang w:eastAsia="ja-JP"/>
              </w:rPr>
            </w:pPr>
            <w:r w:rsidRPr="006B6BFE">
              <w:rPr>
                <w:rFonts w:ascii="Times New Roman" w:hAnsi="Times New Roman" w:cs="Times New Roman"/>
                <w:sz w:val="20"/>
                <w:lang w:eastAsia="ja-JP"/>
              </w:rPr>
              <w:t>Group WUS location in relation to legacy WUS may be configured such that:</w:t>
            </w:r>
            <w:bookmarkEnd w:id="2"/>
          </w:p>
          <w:p w14:paraId="1F95C8E4" w14:textId="77777777" w:rsidR="006B6BFE" w:rsidRPr="006B6BFE" w:rsidRDefault="006B6BFE" w:rsidP="006B6BFE">
            <w:pPr>
              <w:numPr>
                <w:ilvl w:val="0"/>
                <w:numId w:val="20"/>
              </w:numPr>
              <w:overflowPunct/>
              <w:autoSpaceDE/>
              <w:autoSpaceDN/>
              <w:adjustRightInd/>
              <w:spacing w:after="0"/>
              <w:textAlignment w:val="auto"/>
              <w:rPr>
                <w:rFonts w:cs="Times New Roman"/>
                <w:bCs/>
                <w:sz w:val="20"/>
                <w:lang w:val="en-US"/>
              </w:rPr>
            </w:pPr>
            <w:bookmarkStart w:id="3" w:name="_Toc5719913"/>
            <w:r w:rsidRPr="006B6BFE">
              <w:rPr>
                <w:rFonts w:cs="Times New Roman"/>
                <w:bCs/>
                <w:sz w:val="20"/>
                <w:lang w:val="en-US"/>
              </w:rPr>
              <w:t xml:space="preserve">If one group WUS resource is configured, </w:t>
            </w:r>
            <w:bookmarkStart w:id="4" w:name="_Hlk5352570"/>
            <w:r w:rsidRPr="006B6BFE">
              <w:rPr>
                <w:rFonts w:cs="Times New Roman"/>
                <w:bCs/>
                <w:sz w:val="20"/>
                <w:lang w:val="en-US"/>
              </w:rPr>
              <w:t>that group WUS resource may be configured to coincide with the legacy WUS resource or to occur immediately before the legacy WUS resource</w:t>
            </w:r>
            <w:bookmarkEnd w:id="4"/>
            <w:r w:rsidRPr="006B6BFE">
              <w:rPr>
                <w:rFonts w:cs="Times New Roman"/>
                <w:bCs/>
                <w:sz w:val="20"/>
                <w:lang w:val="en-US"/>
              </w:rPr>
              <w:t>, and,</w:t>
            </w:r>
            <w:bookmarkEnd w:id="3"/>
          </w:p>
          <w:p w14:paraId="50488DCC" w14:textId="77777777" w:rsidR="006B6BFE" w:rsidRPr="006B6BFE" w:rsidRDefault="006B6BFE" w:rsidP="006B6BFE">
            <w:pPr>
              <w:numPr>
                <w:ilvl w:val="0"/>
                <w:numId w:val="20"/>
              </w:numPr>
              <w:overflowPunct/>
              <w:autoSpaceDE/>
              <w:autoSpaceDN/>
              <w:adjustRightInd/>
              <w:spacing w:after="0"/>
              <w:textAlignment w:val="auto"/>
              <w:rPr>
                <w:rFonts w:cs="Times New Roman"/>
                <w:bCs/>
                <w:sz w:val="20"/>
                <w:lang w:val="en-US"/>
              </w:rPr>
            </w:pPr>
            <w:bookmarkStart w:id="5" w:name="_Toc5719914"/>
            <w:r w:rsidRPr="006B6BFE">
              <w:rPr>
                <w:rFonts w:cs="Times New Roman"/>
                <w:bCs/>
                <w:sz w:val="20"/>
                <w:lang w:val="en-US"/>
              </w:rPr>
              <w:t>If two group WUS resources are configured, the first group WUS resource coincides with the legacy WUS resource and the second group WUS resource occurs immediately before the first group WUS resource.</w:t>
            </w:r>
            <w:bookmarkEnd w:id="5"/>
          </w:p>
          <w:p w14:paraId="0A74A314" w14:textId="77777777" w:rsidR="006B6BFE" w:rsidRPr="006B6BFE" w:rsidRDefault="006B6BFE" w:rsidP="006B6BFE">
            <w:pPr>
              <w:rPr>
                <w:rFonts w:cs="Times New Roman"/>
                <w:sz w:val="20"/>
                <w:lang w:eastAsia="x-none"/>
              </w:rPr>
            </w:pPr>
          </w:p>
          <w:p w14:paraId="37A0F32F" w14:textId="77777777" w:rsidR="006B6BFE" w:rsidRPr="006B6BFE" w:rsidRDefault="006B6BFE" w:rsidP="006B6BFE">
            <w:pPr>
              <w:pStyle w:val="Proposal"/>
              <w:numPr>
                <w:ilvl w:val="0"/>
                <w:numId w:val="0"/>
              </w:numPr>
              <w:rPr>
                <w:rFonts w:ascii="Times New Roman" w:hAnsi="Times New Roman" w:cs="Times New Roman"/>
                <w:b/>
                <w:i w:val="0"/>
                <w:sz w:val="20"/>
                <w:highlight w:val="green"/>
              </w:rPr>
            </w:pPr>
            <w:bookmarkStart w:id="6" w:name="_Toc5719915"/>
            <w:r w:rsidRPr="006B6BFE">
              <w:rPr>
                <w:rFonts w:ascii="Times New Roman" w:hAnsi="Times New Roman" w:cs="Times New Roman"/>
                <w:b/>
                <w:i w:val="0"/>
                <w:sz w:val="20"/>
                <w:highlight w:val="green"/>
              </w:rPr>
              <w:t xml:space="preserve">Agreement </w:t>
            </w:r>
          </w:p>
          <w:p w14:paraId="349E1F67" w14:textId="77777777" w:rsidR="006B6BFE" w:rsidRPr="006B6BFE" w:rsidRDefault="006B6BFE" w:rsidP="006B6BFE">
            <w:pPr>
              <w:pStyle w:val="Proposal"/>
              <w:rPr>
                <w:rFonts w:ascii="Times New Roman" w:hAnsi="Times New Roman" w:cs="Times New Roman"/>
                <w:b/>
                <w:sz w:val="20"/>
              </w:rPr>
            </w:pPr>
            <w:r w:rsidRPr="006B6BFE">
              <w:rPr>
                <w:rFonts w:ascii="Times New Roman" w:hAnsi="Times New Roman" w:cs="Times New Roman"/>
                <w:sz w:val="20"/>
              </w:rPr>
              <w:t>Group WUS sequence design is down selected between</w:t>
            </w:r>
            <w:bookmarkEnd w:id="6"/>
            <w:r w:rsidRPr="006B6BFE">
              <w:rPr>
                <w:rFonts w:ascii="Times New Roman" w:hAnsi="Times New Roman" w:cs="Times New Roman"/>
                <w:sz w:val="20"/>
              </w:rPr>
              <w:t xml:space="preserve"> the following in RAN1#97</w:t>
            </w:r>
          </w:p>
          <w:p w14:paraId="31277747" w14:textId="77777777" w:rsidR="006B6BFE" w:rsidRPr="006B6BFE" w:rsidRDefault="006B6BFE" w:rsidP="006B6BFE">
            <w:pPr>
              <w:numPr>
                <w:ilvl w:val="0"/>
                <w:numId w:val="20"/>
              </w:numPr>
              <w:overflowPunct/>
              <w:autoSpaceDE/>
              <w:autoSpaceDN/>
              <w:adjustRightInd/>
              <w:spacing w:after="0"/>
              <w:textAlignment w:val="auto"/>
              <w:rPr>
                <w:rFonts w:cs="Times New Roman"/>
                <w:bCs/>
                <w:sz w:val="20"/>
                <w:lang w:val="en-US"/>
              </w:rPr>
            </w:pPr>
            <w:bookmarkStart w:id="7" w:name="_Toc5719916"/>
            <w:bookmarkStart w:id="8" w:name="_Toc5640974"/>
            <w:r w:rsidRPr="006B6BFE">
              <w:rPr>
                <w:rFonts w:cs="Times New Roman"/>
                <w:bCs/>
                <w:sz w:val="20"/>
                <w:lang w:val="en-US"/>
              </w:rPr>
              <w:t>Legacy WUS with shifted scrambling codes</w:t>
            </w:r>
            <w:bookmarkEnd w:id="7"/>
            <w:bookmarkEnd w:id="8"/>
          </w:p>
          <w:p w14:paraId="5217B5DC" w14:textId="77777777" w:rsidR="006B6BFE" w:rsidRPr="006B6BFE" w:rsidRDefault="006B6BFE" w:rsidP="006B6BFE">
            <w:pPr>
              <w:numPr>
                <w:ilvl w:val="0"/>
                <w:numId w:val="20"/>
              </w:numPr>
              <w:overflowPunct/>
              <w:autoSpaceDE/>
              <w:autoSpaceDN/>
              <w:adjustRightInd/>
              <w:spacing w:after="0"/>
              <w:textAlignment w:val="auto"/>
              <w:rPr>
                <w:rFonts w:cs="Times New Roman"/>
                <w:bCs/>
                <w:sz w:val="20"/>
                <w:lang w:val="en-US"/>
              </w:rPr>
            </w:pPr>
            <w:bookmarkStart w:id="9" w:name="_Toc5719917"/>
            <w:r w:rsidRPr="006B6BFE">
              <w:rPr>
                <w:rFonts w:cs="Times New Roman"/>
                <w:bCs/>
                <w:sz w:val="20"/>
                <w:lang w:val="en-US"/>
              </w:rPr>
              <w:t>Legacy WUS with time-frequency short OCCs</w:t>
            </w:r>
            <w:bookmarkEnd w:id="9"/>
            <w:r w:rsidRPr="006B6BFE">
              <w:rPr>
                <w:rFonts w:cs="Times New Roman"/>
                <w:bCs/>
                <w:sz w:val="20"/>
                <w:lang w:val="en-US"/>
              </w:rPr>
              <w:t xml:space="preserve"> </w:t>
            </w:r>
          </w:p>
          <w:p w14:paraId="72A8954E" w14:textId="77777777" w:rsidR="006B6BFE" w:rsidRPr="006B6BFE" w:rsidRDefault="006B6BFE" w:rsidP="006B6BFE">
            <w:pPr>
              <w:numPr>
                <w:ilvl w:val="0"/>
                <w:numId w:val="20"/>
              </w:numPr>
              <w:overflowPunct/>
              <w:autoSpaceDE/>
              <w:autoSpaceDN/>
              <w:adjustRightInd/>
              <w:spacing w:after="0"/>
              <w:textAlignment w:val="auto"/>
              <w:rPr>
                <w:rFonts w:cs="Times New Roman"/>
                <w:bCs/>
                <w:sz w:val="20"/>
                <w:lang w:val="en-US"/>
              </w:rPr>
            </w:pPr>
            <w:bookmarkStart w:id="10" w:name="_Toc5719918"/>
            <w:r w:rsidRPr="006B6BFE">
              <w:rPr>
                <w:rFonts w:cs="Times New Roman"/>
                <w:bCs/>
                <w:sz w:val="20"/>
                <w:lang w:val="en-US"/>
              </w:rPr>
              <w:t>Phase shifted legacy WUS using a suitable subset of the phase increments.</w:t>
            </w:r>
            <w:bookmarkEnd w:id="10"/>
          </w:p>
          <w:p w14:paraId="4874D01D" w14:textId="77777777" w:rsidR="006B6BFE" w:rsidRPr="006B6BFE" w:rsidRDefault="006B6BFE" w:rsidP="006B6BFE">
            <w:pPr>
              <w:numPr>
                <w:ilvl w:val="0"/>
                <w:numId w:val="20"/>
              </w:numPr>
              <w:overflowPunct/>
              <w:autoSpaceDE/>
              <w:autoSpaceDN/>
              <w:adjustRightInd/>
              <w:spacing w:after="0"/>
              <w:textAlignment w:val="auto"/>
              <w:rPr>
                <w:rFonts w:cs="Times New Roman"/>
                <w:bCs/>
                <w:sz w:val="20"/>
                <w:lang w:val="en-US"/>
              </w:rPr>
            </w:pPr>
            <w:r w:rsidRPr="006B6BFE">
              <w:rPr>
                <w:rFonts w:cs="Times New Roman"/>
                <w:bCs/>
                <w:sz w:val="20"/>
                <w:lang w:val="en-US"/>
              </w:rPr>
              <w:t>Legacy WUS with Gold codes</w:t>
            </w:r>
          </w:p>
          <w:p w14:paraId="4460CF43" w14:textId="77777777" w:rsidR="006B6BFE" w:rsidRPr="006B6BFE" w:rsidRDefault="006B6BFE" w:rsidP="006B6BFE">
            <w:pPr>
              <w:pStyle w:val="Proposal"/>
              <w:rPr>
                <w:rFonts w:ascii="Times New Roman" w:hAnsi="Times New Roman" w:cs="Times New Roman"/>
                <w:b/>
                <w:sz w:val="20"/>
              </w:rPr>
            </w:pPr>
            <w:r w:rsidRPr="006B6BFE">
              <w:rPr>
                <w:rFonts w:ascii="Times New Roman" w:hAnsi="Times New Roman" w:cs="Times New Roman"/>
                <w:sz w:val="20"/>
              </w:rPr>
              <w:t>Companies are encouraged to provide evaluation results</w:t>
            </w:r>
          </w:p>
          <w:p w14:paraId="50FC184D" w14:textId="77777777" w:rsidR="006B6BFE" w:rsidRPr="006B6BFE" w:rsidRDefault="006B6BFE" w:rsidP="006B6BFE">
            <w:pPr>
              <w:rPr>
                <w:rFonts w:cs="Times New Roman"/>
                <w:sz w:val="20"/>
                <w:lang w:eastAsia="x-none"/>
              </w:rPr>
            </w:pPr>
          </w:p>
          <w:p w14:paraId="723D2F71" w14:textId="77777777" w:rsidR="006B6BFE" w:rsidRPr="006B6BFE" w:rsidRDefault="006B6BFE" w:rsidP="006B6BFE">
            <w:pPr>
              <w:rPr>
                <w:rFonts w:cs="Times New Roman"/>
                <w:b/>
                <w:sz w:val="20"/>
                <w:highlight w:val="green"/>
                <w:lang w:eastAsia="x-none"/>
              </w:rPr>
            </w:pPr>
            <w:bookmarkStart w:id="11" w:name="_Toc5811409"/>
            <w:r w:rsidRPr="006B6BFE">
              <w:rPr>
                <w:rFonts w:cs="Times New Roman"/>
                <w:b/>
                <w:sz w:val="20"/>
                <w:highlight w:val="green"/>
                <w:lang w:eastAsia="x-none"/>
              </w:rPr>
              <w:t>Agreement</w:t>
            </w:r>
          </w:p>
          <w:p w14:paraId="3051EA5A" w14:textId="77777777" w:rsidR="006B6BFE" w:rsidRPr="006B6BFE" w:rsidRDefault="006B6BFE" w:rsidP="006B6BFE">
            <w:pPr>
              <w:numPr>
                <w:ilvl w:val="0"/>
                <w:numId w:val="21"/>
              </w:numPr>
              <w:overflowPunct/>
              <w:autoSpaceDE/>
              <w:autoSpaceDN/>
              <w:adjustRightInd/>
              <w:spacing w:after="0"/>
              <w:textAlignment w:val="auto"/>
              <w:rPr>
                <w:rFonts w:cs="Times New Roman"/>
                <w:sz w:val="20"/>
                <w:lang w:eastAsia="x-none"/>
              </w:rPr>
            </w:pPr>
            <w:r w:rsidRPr="006B6BFE">
              <w:rPr>
                <w:rFonts w:cs="Times New Roman"/>
                <w:sz w:val="20"/>
              </w:rPr>
              <w:t>Per default, all gaps use the same group WUS configuration regarding number of groups and group WUS resource allocation.</w:t>
            </w:r>
          </w:p>
          <w:p w14:paraId="5198528A" w14:textId="77777777" w:rsidR="006B6BFE" w:rsidRPr="006B6BFE" w:rsidRDefault="006B6BFE" w:rsidP="006B6BFE">
            <w:pPr>
              <w:numPr>
                <w:ilvl w:val="0"/>
                <w:numId w:val="21"/>
              </w:numPr>
              <w:overflowPunct/>
              <w:autoSpaceDE/>
              <w:autoSpaceDN/>
              <w:adjustRightInd/>
              <w:spacing w:after="0"/>
              <w:textAlignment w:val="auto"/>
              <w:rPr>
                <w:rFonts w:cs="Times New Roman"/>
                <w:b/>
                <w:sz w:val="20"/>
                <w:lang w:eastAsia="x-none"/>
              </w:rPr>
            </w:pPr>
            <w:r w:rsidRPr="006B6BFE">
              <w:rPr>
                <w:rFonts w:cs="Times New Roman"/>
                <w:sz w:val="20"/>
              </w:rPr>
              <w:t>Optionally, eDRX gap(s) may be configured individually if separate from the DRX gap.</w:t>
            </w:r>
            <w:bookmarkEnd w:id="11"/>
          </w:p>
          <w:p w14:paraId="78905075" w14:textId="32274557" w:rsidR="00B56224" w:rsidRPr="006B6BFE" w:rsidRDefault="00B56224" w:rsidP="004106FB">
            <w:pPr>
              <w:overflowPunct/>
              <w:autoSpaceDE/>
              <w:autoSpaceDN/>
              <w:adjustRightInd/>
              <w:spacing w:after="0"/>
              <w:ind w:left="720"/>
              <w:textAlignment w:val="auto"/>
              <w:rPr>
                <w:rFonts w:cs="Times New Roman"/>
                <w:sz w:val="20"/>
                <w:szCs w:val="20"/>
                <w:lang w:eastAsia="x-none"/>
              </w:rPr>
            </w:pPr>
          </w:p>
        </w:tc>
      </w:tr>
    </w:tbl>
    <w:p w14:paraId="6C4431CA" w14:textId="1AB8B938" w:rsidR="00B93D9A" w:rsidRDefault="00C759EF" w:rsidP="00366D26">
      <w:pPr>
        <w:pStyle w:val="TdocText"/>
      </w:pPr>
      <w:r>
        <w:rPr>
          <w:lang w:eastAsia="zh-CN"/>
        </w:rPr>
        <w:t xml:space="preserve">In </w:t>
      </w:r>
      <w:r w:rsidRPr="008D515B">
        <w:rPr>
          <w:lang w:eastAsia="zh-CN"/>
        </w:rPr>
        <w:t>this contribution, we</w:t>
      </w:r>
      <w:r>
        <w:rPr>
          <w:lang w:eastAsia="zh-CN"/>
        </w:rPr>
        <w:t xml:space="preserve"> express our views on the </w:t>
      </w:r>
      <w:r w:rsidRPr="00A35853">
        <w:rPr>
          <w:szCs w:val="22"/>
          <w:lang w:eastAsia="zh-CN"/>
        </w:rPr>
        <w:t xml:space="preserve">UE-group WUS for </w:t>
      </w:r>
      <w:r>
        <w:rPr>
          <w:szCs w:val="22"/>
          <w:lang w:eastAsia="zh-CN"/>
        </w:rPr>
        <w:t>NB-IoT</w:t>
      </w:r>
      <w:r w:rsidRPr="00A35853">
        <w:rPr>
          <w:szCs w:val="22"/>
          <w:lang w:eastAsia="zh-CN"/>
        </w:rPr>
        <w:t xml:space="preserve"> devices in Rel-16</w:t>
      </w:r>
      <w:r w:rsidRPr="00366D26">
        <w:t>.</w:t>
      </w:r>
    </w:p>
    <w:p w14:paraId="65BC3CC1" w14:textId="17635615" w:rsidR="00354A1B" w:rsidRPr="00366D26" w:rsidRDefault="00354A1B" w:rsidP="00E77B21"/>
    <w:p w14:paraId="203F9D26" w14:textId="2B719B39" w:rsidR="008C2BF3" w:rsidRPr="006969BE" w:rsidRDefault="008C2BF3" w:rsidP="008C2BF3">
      <w:pPr>
        <w:pStyle w:val="Heading1"/>
        <w:numPr>
          <w:ilvl w:val="0"/>
          <w:numId w:val="2"/>
        </w:numPr>
        <w:ind w:left="360"/>
        <w:rPr>
          <w:rFonts w:cs="Arial"/>
          <w:sz w:val="32"/>
          <w:szCs w:val="32"/>
          <w:lang w:val="en-US"/>
        </w:rPr>
      </w:pPr>
      <w:r>
        <w:rPr>
          <w:rFonts w:cs="Arial"/>
          <w:sz w:val="32"/>
          <w:szCs w:val="32"/>
          <w:lang w:val="en-US"/>
        </w:rPr>
        <w:lastRenderedPageBreak/>
        <w:t xml:space="preserve">Multiplexing </w:t>
      </w:r>
      <w:r w:rsidR="00C61275">
        <w:rPr>
          <w:rFonts w:cs="Arial"/>
          <w:sz w:val="32"/>
          <w:szCs w:val="32"/>
          <w:lang w:val="en-US"/>
        </w:rPr>
        <w:t>C</w:t>
      </w:r>
      <w:r>
        <w:rPr>
          <w:rFonts w:cs="Arial"/>
          <w:sz w:val="32"/>
          <w:szCs w:val="32"/>
          <w:lang w:val="en-US"/>
        </w:rPr>
        <w:t>onsiderations</w:t>
      </w:r>
    </w:p>
    <w:p w14:paraId="412DB0B5" w14:textId="788A13D0" w:rsidR="00301034" w:rsidRDefault="00301034" w:rsidP="00301034">
      <w:pPr>
        <w:pStyle w:val="TdocText"/>
      </w:pPr>
      <w:r>
        <w:t xml:space="preserve">From the </w:t>
      </w:r>
      <w:r w:rsidR="002A5A57">
        <w:t>network (NW)</w:t>
      </w:r>
      <w:r>
        <w:t xml:space="preserve"> </w:t>
      </w:r>
      <w:r w:rsidR="002A5A57">
        <w:t xml:space="preserve">flexibility </w:t>
      </w:r>
      <w:r>
        <w:t xml:space="preserve">perspective, it should be up to configuration </w:t>
      </w:r>
      <w:r w:rsidR="002A5A57">
        <w:t xml:space="preserve">by the NW </w:t>
      </w:r>
      <w:r>
        <w:t xml:space="preserve">to share or not one of the </w:t>
      </w:r>
      <w:r w:rsidR="00ED5A77">
        <w:t xml:space="preserve">two </w:t>
      </w:r>
      <w:r>
        <w:t xml:space="preserve">WUS resources between UE-group WUS and the legacy WUS. </w:t>
      </w:r>
      <w:r w:rsidR="00BB46EF">
        <w:t>In cases when the legacy WUS and new UE-group WUS share the same WUS resource, it’s proposed that a common WUS for Rel-16 UEs is always configured. Depending on the configuration</w:t>
      </w:r>
      <w:r w:rsidR="00A340B4">
        <w:t>,</w:t>
      </w:r>
      <w:r w:rsidR="00BB46EF">
        <w:t xml:space="preserve"> this common WUS can be legacy WUS or non-legacy WUS.</w:t>
      </w:r>
    </w:p>
    <w:p w14:paraId="10E0E866" w14:textId="77777777" w:rsidR="00301034" w:rsidRDefault="00301034" w:rsidP="00301034">
      <w:pPr>
        <w:rPr>
          <w:lang w:eastAsia="zh-CN"/>
        </w:rPr>
      </w:pPr>
    </w:p>
    <w:p w14:paraId="1F403FF6" w14:textId="77777777" w:rsidR="00301034" w:rsidRDefault="00301034" w:rsidP="00301034">
      <w:pPr>
        <w:pStyle w:val="TdocProposal"/>
      </w:pPr>
      <w:r>
        <w:t>Proposal 1</w:t>
      </w:r>
      <w:r w:rsidRPr="00A57355">
        <w:t>:</w:t>
      </w:r>
    </w:p>
    <w:p w14:paraId="3AE1B5E3" w14:textId="5B9F1BF5" w:rsidR="00301034" w:rsidRDefault="00301034" w:rsidP="00301034">
      <w:pPr>
        <w:pStyle w:val="TdocProposalText"/>
      </w:pPr>
      <w:r>
        <w:t>O</w:t>
      </w:r>
      <w:r w:rsidRPr="002F2E66">
        <w:t xml:space="preserve">ne of the </w:t>
      </w:r>
      <w:r w:rsidR="00FE397B">
        <w:t xml:space="preserve">two </w:t>
      </w:r>
      <w:r w:rsidRPr="002F2E66">
        <w:t xml:space="preserve">WUS resources </w:t>
      </w:r>
      <w:r>
        <w:t xml:space="preserve">can be </w:t>
      </w:r>
      <w:r w:rsidRPr="002F2E66">
        <w:t>configured to be shared with legacy WUS</w:t>
      </w:r>
    </w:p>
    <w:p w14:paraId="000BA839" w14:textId="1693EF02" w:rsidR="00301034" w:rsidRDefault="00301034" w:rsidP="00301034">
      <w:pPr>
        <w:pStyle w:val="TdocProposalText"/>
        <w:numPr>
          <w:ilvl w:val="1"/>
          <w:numId w:val="6"/>
        </w:numPr>
      </w:pPr>
      <w:r>
        <w:t>If not configured, the WUS resource is used only for legacy WUS transmission</w:t>
      </w:r>
      <w:r w:rsidR="00FE397B">
        <w:t xml:space="preserve"> and another WUS resource is used only for Rel-16 UE-group WUS.</w:t>
      </w:r>
    </w:p>
    <w:p w14:paraId="5A41559E" w14:textId="6F00D269" w:rsidR="00301034" w:rsidRDefault="00D328D5" w:rsidP="00D328D5">
      <w:pPr>
        <w:pStyle w:val="TdocProposalText"/>
      </w:pPr>
      <w:r w:rsidRPr="00D328D5">
        <w:t xml:space="preserve">If the group WUS resource is configured to be shared by </w:t>
      </w:r>
      <w:r>
        <w:t xml:space="preserve">legacy </w:t>
      </w:r>
      <w:r w:rsidRPr="00D328D5">
        <w:t xml:space="preserve">Rel-15 WUS and Rel-16 WUS, a common WUS for all the group WUS UEs in the same WUS resource </w:t>
      </w:r>
      <w:r>
        <w:t>is</w:t>
      </w:r>
      <w:r w:rsidRPr="00D328D5">
        <w:t xml:space="preserve"> configured to be legacy WUS or a non-legacy WUS</w:t>
      </w:r>
      <w:r w:rsidR="00301034" w:rsidRPr="00E42140">
        <w:t>.</w:t>
      </w:r>
    </w:p>
    <w:p w14:paraId="177E701C" w14:textId="77777777" w:rsidR="00301034" w:rsidRDefault="00301034" w:rsidP="00301034"/>
    <w:p w14:paraId="689F9DE3" w14:textId="4D622F25" w:rsidR="00301034" w:rsidRDefault="00301034" w:rsidP="00301034">
      <w:pPr>
        <w:pStyle w:val="TdocText"/>
      </w:pPr>
      <w:r>
        <w:t>From the UE complexity perspective, the number of WUS sequences the UE detects within the monitored WUS resource should be minimized. However, in order to distinguish a particular WUS, the UE should be able to detect all WUSes which potentially can be transmitted within the WUS resource. In this case, a minimal number of UE groups sharing the same WUS resource is equal to 3: UE group-0, UE group-1 and the common UE group. Obviously, the single sequence (SS) CDM is used to multiplex the sequences</w:t>
      </w:r>
      <w:r w:rsidR="001C06E2">
        <w:t xml:space="preserve"> corresponding to these WUSes</w:t>
      </w:r>
      <w:r>
        <w:t>.</w:t>
      </w:r>
    </w:p>
    <w:p w14:paraId="4E7904C0" w14:textId="77777777" w:rsidR="00301034" w:rsidRDefault="00301034" w:rsidP="00301034">
      <w:pPr>
        <w:rPr>
          <w:lang w:eastAsia="zh-CN"/>
        </w:rPr>
      </w:pPr>
    </w:p>
    <w:p w14:paraId="13B81A30" w14:textId="77777777" w:rsidR="00301034" w:rsidRDefault="00301034" w:rsidP="00301034">
      <w:pPr>
        <w:pStyle w:val="TdocProposal"/>
      </w:pPr>
      <w:r>
        <w:t>Proposal 2</w:t>
      </w:r>
      <w:r w:rsidRPr="00A57355">
        <w:t>:</w:t>
      </w:r>
    </w:p>
    <w:p w14:paraId="163A5AE5" w14:textId="77777777" w:rsidR="0024679F" w:rsidRDefault="00301034" w:rsidP="004106FB">
      <w:pPr>
        <w:pStyle w:val="TdocProposalText"/>
      </w:pPr>
      <w:r>
        <w:t>For SS-CDM, the max number of WUS sequences within the same WUS resource is equal to 3.</w:t>
      </w:r>
    </w:p>
    <w:p w14:paraId="3CC61B3A" w14:textId="1863ABB0" w:rsidR="0024679F" w:rsidRDefault="0024679F" w:rsidP="004106FB">
      <w:pPr>
        <w:pStyle w:val="TdocProposalText"/>
        <w:numPr>
          <w:ilvl w:val="1"/>
          <w:numId w:val="6"/>
        </w:numPr>
      </w:pPr>
      <w:r w:rsidRPr="00D82323">
        <w:t>This corresponds to UE group-0, UE-group-1 and the common UE group</w:t>
      </w:r>
      <w:r>
        <w:t>.</w:t>
      </w:r>
    </w:p>
    <w:p w14:paraId="439AE68C" w14:textId="77777777" w:rsidR="0024679F" w:rsidRDefault="0024679F" w:rsidP="004106FB">
      <w:pPr>
        <w:rPr>
          <w:lang w:eastAsia="zh-CN"/>
        </w:rPr>
      </w:pPr>
    </w:p>
    <w:p w14:paraId="101A6AF9" w14:textId="77D70C18" w:rsidR="00BF183C" w:rsidRDefault="00BF183C" w:rsidP="004A5787">
      <w:pPr>
        <w:pStyle w:val="Heading1"/>
        <w:numPr>
          <w:ilvl w:val="0"/>
          <w:numId w:val="2"/>
        </w:numPr>
        <w:ind w:left="360"/>
        <w:rPr>
          <w:rFonts w:cs="Arial"/>
          <w:sz w:val="32"/>
          <w:szCs w:val="32"/>
          <w:lang w:val="en-US"/>
        </w:rPr>
      </w:pPr>
      <w:r>
        <w:rPr>
          <w:rFonts w:cs="Arial"/>
          <w:sz w:val="32"/>
          <w:szCs w:val="32"/>
          <w:lang w:val="en-US"/>
        </w:rPr>
        <w:t xml:space="preserve">UE-group WUS </w:t>
      </w:r>
      <w:r w:rsidR="00EB2217">
        <w:rPr>
          <w:rFonts w:cs="Arial"/>
          <w:sz w:val="32"/>
          <w:szCs w:val="32"/>
          <w:lang w:val="en-US"/>
        </w:rPr>
        <w:t xml:space="preserve">Sequence </w:t>
      </w:r>
      <w:r>
        <w:rPr>
          <w:rFonts w:cs="Arial"/>
          <w:sz w:val="32"/>
          <w:szCs w:val="32"/>
          <w:lang w:val="en-US"/>
        </w:rPr>
        <w:t>Generation Considerations</w:t>
      </w:r>
    </w:p>
    <w:p w14:paraId="4FBD0D7A" w14:textId="45C797DA" w:rsidR="00EB0263" w:rsidRDefault="00EB0263" w:rsidP="00582921">
      <w:pPr>
        <w:pStyle w:val="TdocText"/>
      </w:pPr>
      <w:r>
        <w:t>This section presents cross-correlation analysis of UE-group WUS sequences with each other and with the legacy Rel-15 WUS according to different design proposals.</w:t>
      </w:r>
      <w:r w:rsidR="00577740">
        <w:t xml:space="preserve"> In particular</w:t>
      </w:r>
      <w:r w:rsidR="00F555D1">
        <w:t xml:space="preserve">, </w:t>
      </w:r>
      <w:r w:rsidR="007F1F9F">
        <w:t xml:space="preserve">the </w:t>
      </w:r>
      <w:r w:rsidR="00F555D1">
        <w:t xml:space="preserve">baseline </w:t>
      </w:r>
      <w:r w:rsidR="007F1F9F">
        <w:t xml:space="preserve">legacy WUS </w:t>
      </w:r>
      <w:r w:rsidR="00F555D1">
        <w:t xml:space="preserve">with the following modifications </w:t>
      </w:r>
      <w:r w:rsidR="00211993">
        <w:t>is</w:t>
      </w:r>
      <w:r w:rsidR="00F555D1">
        <w:t xml:space="preserve"> considered to generate a set of </w:t>
      </w:r>
      <w:r w:rsidR="00DD7405">
        <w:t xml:space="preserve">WUS </w:t>
      </w:r>
      <w:r w:rsidR="00F555D1">
        <w:t>sequences corresponding to different UE groups</w:t>
      </w:r>
      <w:r w:rsidR="00577740">
        <w:t>:</w:t>
      </w:r>
    </w:p>
    <w:p w14:paraId="5AB1B520" w14:textId="21577185" w:rsidR="00577740" w:rsidRDefault="00536E8E" w:rsidP="003517E9">
      <w:pPr>
        <w:pStyle w:val="TdocText"/>
        <w:numPr>
          <w:ilvl w:val="0"/>
          <w:numId w:val="18"/>
        </w:numPr>
        <w:ind w:left="1003" w:hanging="357"/>
        <w:contextualSpacing/>
      </w:pPr>
      <w:r>
        <w:t>Long t</w:t>
      </w:r>
      <w:r w:rsidR="00577740">
        <w:t>ime-frequency orthogonal cover codes (TF OCCs)</w:t>
      </w:r>
      <w:r w:rsidR="001D09BC">
        <w:t xml:space="preserve"> described in </w:t>
      </w:r>
      <w:r w:rsidR="005808E6">
        <w:fldChar w:fldCharType="begin"/>
      </w:r>
      <w:r w:rsidR="005808E6">
        <w:instrText xml:space="preserve"> REF _Ref1150870 \r \h </w:instrText>
      </w:r>
      <w:r w:rsidR="005808E6">
        <w:fldChar w:fldCharType="separate"/>
      </w:r>
      <w:r w:rsidR="00B92875">
        <w:t>[4]</w:t>
      </w:r>
      <w:r w:rsidR="005808E6">
        <w:fldChar w:fldCharType="end"/>
      </w:r>
      <w:r w:rsidR="001D09BC">
        <w:t>;</w:t>
      </w:r>
    </w:p>
    <w:p w14:paraId="55BE7755" w14:textId="4B6E4702" w:rsidR="00CD19AA" w:rsidRDefault="0048708D" w:rsidP="003517E9">
      <w:pPr>
        <w:pStyle w:val="TdocText"/>
        <w:numPr>
          <w:ilvl w:val="0"/>
          <w:numId w:val="18"/>
        </w:numPr>
        <w:ind w:left="1003" w:hanging="357"/>
        <w:contextualSpacing/>
      </w:pPr>
      <w:r>
        <w:t>Shifted scrambling sequence</w:t>
      </w:r>
      <w:r w:rsidR="005964C7">
        <w:t>s</w:t>
      </w:r>
      <w:r>
        <w:t xml:space="preserve"> described in the Appendix;</w:t>
      </w:r>
    </w:p>
    <w:p w14:paraId="38B950F1" w14:textId="1ABB5287" w:rsidR="0048708D" w:rsidRDefault="00672D11" w:rsidP="003517E9">
      <w:pPr>
        <w:pStyle w:val="TdocText"/>
        <w:numPr>
          <w:ilvl w:val="0"/>
          <w:numId w:val="18"/>
        </w:numPr>
        <w:ind w:left="1003" w:hanging="357"/>
        <w:contextualSpacing/>
      </w:pPr>
      <w:r>
        <w:t>Gol</w:t>
      </w:r>
      <w:r w:rsidR="00B1158C">
        <w:t>d</w:t>
      </w:r>
      <w:r>
        <w:t xml:space="preserve"> cover codes (GCCs) described in </w:t>
      </w:r>
      <w:r w:rsidR="00892CAD">
        <w:fldChar w:fldCharType="begin"/>
      </w:r>
      <w:r w:rsidR="00892CAD">
        <w:instrText xml:space="preserve"> REF _Ref5365856 \r \h </w:instrText>
      </w:r>
      <w:r w:rsidR="00892CAD">
        <w:fldChar w:fldCharType="separate"/>
      </w:r>
      <w:r w:rsidR="00B92875">
        <w:t>[5]</w:t>
      </w:r>
      <w:r w:rsidR="00892CAD">
        <w:fldChar w:fldCharType="end"/>
      </w:r>
      <w:r>
        <w:t>;</w:t>
      </w:r>
    </w:p>
    <w:p w14:paraId="058FD3CB" w14:textId="7E3AE89B" w:rsidR="00672D11" w:rsidRDefault="0026633E" w:rsidP="003517E9">
      <w:pPr>
        <w:pStyle w:val="TdocText"/>
        <w:numPr>
          <w:ilvl w:val="0"/>
          <w:numId w:val="18"/>
        </w:numPr>
        <w:ind w:left="1003" w:hanging="357"/>
        <w:contextualSpacing/>
      </w:pPr>
      <w:r w:rsidRPr="0026633E">
        <w:t>Phase shift progression with</w:t>
      </w:r>
      <w:r>
        <w:t xml:space="preserve"> </w:t>
      </w:r>
      <w:r w:rsidR="007D3A15">
        <w:t xml:space="preserve">different phase </w:t>
      </w:r>
      <w:r w:rsidR="007D3A15" w:rsidRPr="0026633E">
        <w:t>increment</w:t>
      </w:r>
      <w:r w:rsidR="007D3A15">
        <w:t xml:space="preserve">s picked from a </w:t>
      </w:r>
      <w:r>
        <w:t>set of multiplies of</w:t>
      </w:r>
      <w:r w:rsidRPr="0026633E">
        <w:t xml:space="preserve"> </w:t>
      </w:r>
      <m:oMath>
        <m:f>
          <m:fPr>
            <m:ctrlPr>
              <w:rPr>
                <w:rFonts w:ascii="Cambria Math" w:hAnsi="Cambria Math"/>
                <w:i/>
              </w:rPr>
            </m:ctrlPr>
          </m:fPr>
          <m:num>
            <m:r>
              <w:rPr>
                <w:rFonts w:ascii="Cambria Math" w:hAnsi="Cambria Math"/>
              </w:rPr>
              <m:t>2π</m:t>
            </m:r>
          </m:num>
          <m:den>
            <m:r>
              <w:rPr>
                <w:rFonts w:ascii="Cambria Math" w:hAnsi="Cambria Math"/>
              </w:rPr>
              <m:t>132</m:t>
            </m:r>
          </m:den>
        </m:f>
      </m:oMath>
      <w:r w:rsidRPr="0026633E">
        <w:t xml:space="preserve"> </w:t>
      </w:r>
      <w:r w:rsidR="007D3A15">
        <w:t>(</w:t>
      </w:r>
      <w:r>
        <w:t>the</w:t>
      </w:r>
      <w:r w:rsidR="007D3A15">
        <w:t xml:space="preserve"> set {2, 15, …, 106} is used) described in </w:t>
      </w:r>
      <w:r w:rsidR="009E6C6A">
        <w:fldChar w:fldCharType="begin"/>
      </w:r>
      <w:r w:rsidR="009E6C6A">
        <w:instrText xml:space="preserve"> REF _Ref5365978 \r \h </w:instrText>
      </w:r>
      <w:r w:rsidR="009E6C6A">
        <w:fldChar w:fldCharType="separate"/>
      </w:r>
      <w:r w:rsidR="00B92875">
        <w:t>[6]</w:t>
      </w:r>
      <w:r w:rsidR="009E6C6A">
        <w:fldChar w:fldCharType="end"/>
      </w:r>
      <w:r w:rsidR="006B2156">
        <w:t xml:space="preserve"> </w:t>
      </w:r>
      <w:r w:rsidR="008536F2">
        <w:t xml:space="preserve">and </w:t>
      </w:r>
      <w:r w:rsidR="006B2156">
        <w:t xml:space="preserve">referred </w:t>
      </w:r>
      <w:r w:rsidR="008536F2">
        <w:t xml:space="preserve">there </w:t>
      </w:r>
      <w:r w:rsidR="006B2156">
        <w:t>to as DELTA132</w:t>
      </w:r>
      <w:r w:rsidR="006B2156" w:rsidRPr="003517E9">
        <w:rPr>
          <w:vertAlign w:val="subscript"/>
        </w:rPr>
        <w:t>13</w:t>
      </w:r>
      <w:r w:rsidR="00F915D2">
        <w:t>;</w:t>
      </w:r>
    </w:p>
    <w:p w14:paraId="6D889A12" w14:textId="34FA75A0" w:rsidR="006B2156" w:rsidRDefault="00DB5D08" w:rsidP="003517E9">
      <w:pPr>
        <w:pStyle w:val="TdocText"/>
        <w:numPr>
          <w:ilvl w:val="0"/>
          <w:numId w:val="18"/>
        </w:numPr>
        <w:ind w:left="1003" w:hanging="357"/>
        <w:contextualSpacing/>
      </w:pPr>
      <w:r>
        <w:t>Short OCCs applied separately in time and frequency domains (OCCs).</w:t>
      </w:r>
    </w:p>
    <w:p w14:paraId="347A1411" w14:textId="4DB6AB54" w:rsidR="00577740" w:rsidRDefault="00DB5D08" w:rsidP="00582921">
      <w:pPr>
        <w:pStyle w:val="TdocText"/>
      </w:pPr>
      <w:r>
        <w:t>The last design proposal can be quickly described by the following equation:</w:t>
      </w:r>
    </w:p>
    <w:p w14:paraId="73D7A262" w14:textId="26D2A1D3" w:rsidR="00DB5D08" w:rsidRDefault="008A2D0F" w:rsidP="003517E9">
      <w:pPr>
        <w:pStyle w:val="TdocEquation"/>
      </w:pPr>
      <w:r>
        <w:tab/>
      </w:r>
      <w:r w:rsidR="00037F00" w:rsidRPr="003517E9">
        <w:rPr>
          <w:position w:val="-18"/>
        </w:rPr>
        <w:object w:dxaOrig="5220" w:dyaOrig="480" w14:anchorId="58DBC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24.2pt" o:ole="">
            <v:imagedata r:id="rId12" o:title=""/>
          </v:shape>
          <o:OLEObject Type="Embed" ProgID="Equation.DSMT4" ShapeID="_x0000_i1025" DrawAspect="Content" ObjectID="_1618437032" r:id="rId13"/>
        </w:object>
      </w:r>
      <w:r>
        <w:t>,</w:t>
      </w:r>
      <w:r w:rsidR="00AB19C9">
        <w:t xml:space="preserve"> </w:t>
      </w:r>
      <w:r w:rsidR="00AB19C9" w:rsidRPr="003517E9">
        <w:rPr>
          <w:position w:val="-10"/>
        </w:rPr>
        <w:object w:dxaOrig="1420" w:dyaOrig="320" w14:anchorId="0380209A">
          <v:shape id="_x0000_i1026" type="#_x0000_t75" style="width:70.85pt;height:16.15pt" o:ole="">
            <v:imagedata r:id="rId14" o:title=""/>
          </v:shape>
          <o:OLEObject Type="Embed" ProgID="Equation.DSMT4" ShapeID="_x0000_i1026" DrawAspect="Content" ObjectID="_1618437033" r:id="rId15"/>
        </w:object>
      </w:r>
      <w:r w:rsidR="00AB19C9">
        <w:t>,</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Pr>
          <w:noProof/>
        </w:rPr>
        <w:fldChar w:fldCharType="begin"/>
      </w:r>
      <w:r>
        <w:rPr>
          <w:noProof/>
        </w:rPr>
        <w:instrText xml:space="preserve"> SEQ MTEqn \c \* Arabic \* MERGEFORMAT </w:instrText>
      </w:r>
      <w:r>
        <w:rPr>
          <w:noProof/>
        </w:rPr>
        <w:fldChar w:fldCharType="separate"/>
      </w:r>
      <w:r w:rsidR="00B92875">
        <w:rPr>
          <w:noProof/>
        </w:rPr>
        <w:instrText>1</w:instrText>
      </w:r>
      <w:r>
        <w:rPr>
          <w:noProof/>
        </w:rPr>
        <w:fldChar w:fldCharType="end"/>
      </w:r>
      <w:r>
        <w:instrText>)</w:instrText>
      </w:r>
      <w:r>
        <w:fldChar w:fldCharType="end"/>
      </w:r>
    </w:p>
    <w:p w14:paraId="55431523" w14:textId="60086B85" w:rsidR="008A2D0F" w:rsidRDefault="008A2D0F" w:rsidP="003517E9">
      <w:pPr>
        <w:pStyle w:val="TdocText"/>
      </w:pPr>
      <w:r>
        <w:lastRenderedPageBreak/>
        <w:t xml:space="preserve">where </w:t>
      </w:r>
      <w:r w:rsidRPr="003517E9">
        <w:rPr>
          <w:position w:val="-12"/>
        </w:rPr>
        <w:object w:dxaOrig="680" w:dyaOrig="360" w14:anchorId="6E8BEB0A">
          <v:shape id="_x0000_i1027" type="#_x0000_t75" style="width:34pt;height:18.45pt" o:ole="">
            <v:imagedata r:id="rId16" o:title=""/>
          </v:shape>
          <o:OLEObject Type="Embed" ProgID="Equation.DSMT4" ShapeID="_x0000_i1027" DrawAspect="Content" ObjectID="_1618437034" r:id="rId17"/>
        </w:object>
      </w:r>
      <w:r w:rsidR="00AB19C9">
        <w:t xml:space="preserve"> is the WUS sequence corresponding to UE group </w:t>
      </w:r>
      <w:r w:rsidR="00AB19C9" w:rsidRPr="003517E9">
        <w:rPr>
          <w:position w:val="-6"/>
        </w:rPr>
        <w:object w:dxaOrig="200" w:dyaOrig="220" w14:anchorId="0ADF2451">
          <v:shape id="_x0000_i1028" type="#_x0000_t75" style="width:9.8pt;height:10.95pt" o:ole="">
            <v:imagedata r:id="rId18" o:title=""/>
          </v:shape>
          <o:OLEObject Type="Embed" ProgID="Equation.DSMT4" ShapeID="_x0000_i1028" DrawAspect="Content" ObjectID="_1618437035" r:id="rId19"/>
        </w:object>
      </w:r>
      <w:r w:rsidR="00AB19C9">
        <w:t xml:space="preserve">, </w:t>
      </w:r>
      <w:r w:rsidR="00AB19C9" w:rsidRPr="003517E9">
        <w:rPr>
          <w:position w:val="-14"/>
        </w:rPr>
        <w:object w:dxaOrig="1800" w:dyaOrig="400" w14:anchorId="4942A4C1">
          <v:shape id="_x0000_i1029" type="#_x0000_t75" style="width:90.45pt;height:20.15pt" o:ole="">
            <v:imagedata r:id="rId20" o:title=""/>
          </v:shape>
          <o:OLEObject Type="Embed" ProgID="Equation.DSMT4" ShapeID="_x0000_i1029" DrawAspect="Content" ObjectID="_1618437036" r:id="rId21"/>
        </w:object>
      </w:r>
      <w:r w:rsidR="00AB19C9">
        <w:t xml:space="preserve">, </w:t>
      </w:r>
      <w:r w:rsidR="00C64CA4" w:rsidRPr="008F379D">
        <w:rPr>
          <w:position w:val="-14"/>
        </w:rPr>
        <w:object w:dxaOrig="499" w:dyaOrig="400" w14:anchorId="70469D65">
          <v:shape id="_x0000_i1030" type="#_x0000_t75" style="width:24.75pt;height:20.15pt" o:ole="">
            <v:imagedata r:id="rId22" o:title=""/>
          </v:shape>
          <o:OLEObject Type="Embed" ProgID="Equation.DSMT4" ShapeID="_x0000_i1030" DrawAspect="Content" ObjectID="_1618437037" r:id="rId23"/>
        </w:object>
      </w:r>
      <w:r w:rsidR="00C64CA4">
        <w:t xml:space="preserve"> is the total number of UE groups</w:t>
      </w:r>
      <w:r w:rsidR="00B60D69">
        <w:t xml:space="preserve">, </w:t>
      </w:r>
      <w:r w:rsidR="00B60D69" w:rsidRPr="003517E9">
        <w:rPr>
          <w:position w:val="-10"/>
        </w:rPr>
        <w:object w:dxaOrig="580" w:dyaOrig="320" w14:anchorId="4E5667B8">
          <v:shape id="_x0000_i1031" type="#_x0000_t75" style="width:28.8pt;height:16.15pt" o:ole="">
            <v:imagedata r:id="rId24" o:title=""/>
          </v:shape>
          <o:OLEObject Type="Embed" ProgID="Equation.DSMT4" ShapeID="_x0000_i1031" DrawAspect="Content" ObjectID="_1618437038" r:id="rId25"/>
        </w:object>
      </w:r>
      <w:r w:rsidR="00B60D69">
        <w:t xml:space="preserve"> is the baseline legacy WUS sequence in </w:t>
      </w:r>
      <w:r w:rsidR="00E34110">
        <w:t xml:space="preserve">one </w:t>
      </w:r>
      <w:r w:rsidR="00B60D69">
        <w:t>subframe</w:t>
      </w:r>
      <w:r w:rsidR="00E34110">
        <w:t xml:space="preserve"> </w:t>
      </w:r>
      <w:r w:rsidR="00892CAD">
        <w:fldChar w:fldCharType="begin"/>
      </w:r>
      <w:r w:rsidR="00892CAD">
        <w:instrText xml:space="preserve"> REF _Ref525558335 \r \h </w:instrText>
      </w:r>
      <w:r w:rsidR="00892CAD">
        <w:fldChar w:fldCharType="separate"/>
      </w:r>
      <w:r w:rsidR="00B92875">
        <w:t>[3]</w:t>
      </w:r>
      <w:r w:rsidR="00892CAD">
        <w:fldChar w:fldCharType="end"/>
      </w:r>
      <w:r w:rsidR="00037F00">
        <w:t xml:space="preserve">, </w:t>
      </w:r>
      <w:r w:rsidR="00037F00" w:rsidRPr="003517E9">
        <w:rPr>
          <w:position w:val="-10"/>
        </w:rPr>
        <w:object w:dxaOrig="480" w:dyaOrig="320" w14:anchorId="4FBD59D0">
          <v:shape id="_x0000_i1032" type="#_x0000_t75" style="width:24.2pt;height:16.15pt" o:ole="">
            <v:imagedata r:id="rId26" o:title=""/>
          </v:shape>
          <o:OLEObject Type="Embed" ProgID="Equation.DSMT4" ShapeID="_x0000_i1032" DrawAspect="Content" ObjectID="_1618437039" r:id="rId27"/>
        </w:object>
      </w:r>
      <w:r w:rsidR="00037F00">
        <w:t xml:space="preserve"> is the OCC applied in the time domain, </w:t>
      </w:r>
      <w:r w:rsidR="00037F00" w:rsidRPr="003517E9">
        <w:rPr>
          <w:position w:val="-12"/>
        </w:rPr>
        <w:object w:dxaOrig="600" w:dyaOrig="360" w14:anchorId="6A69F0CE">
          <v:shape id="_x0000_i1033" type="#_x0000_t75" style="width:29.95pt;height:18.45pt" o:ole="">
            <v:imagedata r:id="rId28" o:title=""/>
          </v:shape>
          <o:OLEObject Type="Embed" ProgID="Equation.DSMT4" ShapeID="_x0000_i1033" DrawAspect="Content" ObjectID="_1618437040" r:id="rId29"/>
        </w:object>
      </w:r>
      <w:r w:rsidR="00037F00">
        <w:t xml:space="preserve"> is the OCC applied in the frequency domain.</w:t>
      </w:r>
      <w:r w:rsidR="00D163B3">
        <w:t xml:space="preserve"> For the time domain OCC, the Barker code of length 11 can be a good candidate:</w:t>
      </w:r>
    </w:p>
    <w:p w14:paraId="455D97C5" w14:textId="74BB682F" w:rsidR="00D163B3" w:rsidRDefault="00D163B3" w:rsidP="003517E9">
      <w:pPr>
        <w:pStyle w:val="TdocEquation"/>
      </w:pPr>
      <w:r>
        <w:tab/>
      </w:r>
      <w:r w:rsidR="00B55F20" w:rsidRPr="00813774">
        <w:rPr>
          <w:position w:val="-10"/>
        </w:rPr>
        <w:object w:dxaOrig="4580" w:dyaOrig="340" w14:anchorId="1781AB4F">
          <v:shape id="_x0000_i1034" type="#_x0000_t75" style="width:229.25pt;height:17.3pt" o:ole="">
            <v:imagedata r:id="rId30" o:title=""/>
          </v:shape>
          <o:OLEObject Type="Embed" ProgID="Equation.DSMT4" ShapeID="_x0000_i1034" DrawAspect="Content" ObjectID="_1618437041" r:id="rId31"/>
        </w:object>
      </w:r>
      <w:r w:rsidR="00B55F20">
        <w:t>.</w:t>
      </w:r>
      <w:r>
        <w:tab/>
      </w:r>
      <w:bookmarkStart w:id="12" w:name="Barker_code"/>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Pr>
          <w:noProof/>
        </w:rPr>
        <w:fldChar w:fldCharType="begin"/>
      </w:r>
      <w:r>
        <w:rPr>
          <w:noProof/>
        </w:rPr>
        <w:instrText xml:space="preserve"> SEQ MTEqn \c \* Arabic \* MERGEFORMAT </w:instrText>
      </w:r>
      <w:r>
        <w:rPr>
          <w:noProof/>
        </w:rPr>
        <w:fldChar w:fldCharType="separate"/>
      </w:r>
      <w:r w:rsidR="00B92875">
        <w:rPr>
          <w:noProof/>
        </w:rPr>
        <w:instrText>2</w:instrText>
      </w:r>
      <w:r>
        <w:rPr>
          <w:noProof/>
        </w:rPr>
        <w:fldChar w:fldCharType="end"/>
      </w:r>
      <w:r>
        <w:instrText>)</w:instrText>
      </w:r>
      <w:r>
        <w:fldChar w:fldCharType="end"/>
      </w:r>
      <w:bookmarkEnd w:id="12"/>
    </w:p>
    <w:p w14:paraId="32943DDA" w14:textId="0D680E59" w:rsidR="00D163B3" w:rsidRDefault="00EA2874" w:rsidP="003517E9">
      <w:pPr>
        <w:pStyle w:val="TdocText"/>
      </w:pPr>
      <w:r>
        <w:t>In this case, unique</w:t>
      </w:r>
      <w:r w:rsidR="00B55F20">
        <w:t xml:space="preserve"> cyclic shifts of the code </w:t>
      </w:r>
      <w:r w:rsidR="00B55F20">
        <w:fldChar w:fldCharType="begin"/>
      </w:r>
      <w:r w:rsidR="00B55F20">
        <w:instrText xml:space="preserve"> REF Barker_code \h </w:instrText>
      </w:r>
      <w:r w:rsidR="00B55F20">
        <w:fldChar w:fldCharType="separate"/>
      </w:r>
      <w:r w:rsidR="00B92875">
        <w:t>(</w:t>
      </w:r>
      <w:r w:rsidR="00B92875">
        <w:rPr>
          <w:noProof/>
        </w:rPr>
        <w:t>2</w:t>
      </w:r>
      <w:r w:rsidR="00B92875">
        <w:t>)</w:t>
      </w:r>
      <w:r w:rsidR="00B55F20">
        <w:fldChar w:fldCharType="end"/>
      </w:r>
      <w:r w:rsidR="00B55F20">
        <w:t xml:space="preserve"> correspond to different UE group indices</w:t>
      </w:r>
      <w:r w:rsidR="00D1366B">
        <w:t xml:space="preserve"> </w:t>
      </w:r>
      <w:r w:rsidRPr="00813774">
        <w:rPr>
          <w:position w:val="-14"/>
        </w:rPr>
        <w:object w:dxaOrig="1800" w:dyaOrig="400" w14:anchorId="24FC3507">
          <v:shape id="_x0000_i1035" type="#_x0000_t75" style="width:90.45pt;height:20.15pt" o:ole="">
            <v:imagedata r:id="rId20" o:title=""/>
          </v:shape>
          <o:OLEObject Type="Embed" ProgID="Equation.DSMT4" ShapeID="_x0000_i1035" DrawAspect="Content" ObjectID="_1618437042" r:id="rId32"/>
        </w:object>
      </w:r>
      <w:r w:rsidR="00B55F20">
        <w:t>.</w:t>
      </w:r>
      <w:r>
        <w:t xml:space="preserve"> For the frequency domain OCC corresponding to different UE groups, the columns</w:t>
      </w:r>
      <w:r w:rsidR="00FB02BC">
        <w:t xml:space="preserve"> </w:t>
      </w:r>
      <w:r w:rsidR="00FB02BC" w:rsidRPr="00FB02BC">
        <w:rPr>
          <w:position w:val="-14"/>
        </w:rPr>
        <w:object w:dxaOrig="3300" w:dyaOrig="440" w14:anchorId="6BFB1E62">
          <v:shape id="_x0000_i1036" type="#_x0000_t75" style="width:164.75pt;height:21.9pt" o:ole="">
            <v:imagedata r:id="rId33" o:title=""/>
          </v:shape>
          <o:OLEObject Type="Embed" ProgID="Equation.DSMT4" ShapeID="_x0000_i1036" DrawAspect="Content" ObjectID="_1618437043" r:id="rId34"/>
        </w:object>
      </w:r>
      <w:r>
        <w:t xml:space="preserve"> of the following matrix can be</w:t>
      </w:r>
      <w:r w:rsidR="00D1366B">
        <w:t xml:space="preserve"> used:</w:t>
      </w:r>
    </w:p>
    <w:p w14:paraId="35573DFA" w14:textId="0BF4CB9D" w:rsidR="00D1366B" w:rsidRDefault="003B1CB3" w:rsidP="003517E9">
      <w:pPr>
        <w:pStyle w:val="TdocEquation"/>
      </w:pPr>
      <w:r>
        <w:tab/>
      </w:r>
      <w:r w:rsidR="008B36A9" w:rsidRPr="0042496C">
        <w:rPr>
          <w:position w:val="-210"/>
        </w:rPr>
        <w:object w:dxaOrig="7880" w:dyaOrig="4320" w14:anchorId="3586245E">
          <v:shape id="_x0000_i1037" type="#_x0000_t75" style="width:395.15pt;height:3in" o:ole="">
            <v:imagedata r:id="rId35" o:title=""/>
          </v:shape>
          <o:OLEObject Type="Embed" ProgID="Equation.DSMT4" ShapeID="_x0000_i1037" DrawAspect="Content" ObjectID="_1618437044" r:id="rId36"/>
        </w:object>
      </w:r>
      <w:r w:rsidR="00EC5566">
        <w:t>.</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Pr>
          <w:noProof/>
        </w:rPr>
        <w:fldChar w:fldCharType="begin"/>
      </w:r>
      <w:r>
        <w:rPr>
          <w:noProof/>
        </w:rPr>
        <w:instrText xml:space="preserve"> SEQ MTEqn \c \* Arabic \* MERGEFORMAT </w:instrText>
      </w:r>
      <w:r>
        <w:rPr>
          <w:noProof/>
        </w:rPr>
        <w:fldChar w:fldCharType="separate"/>
      </w:r>
      <w:r w:rsidR="00B92875">
        <w:rPr>
          <w:noProof/>
        </w:rPr>
        <w:instrText>3</w:instrText>
      </w:r>
      <w:r>
        <w:rPr>
          <w:noProof/>
        </w:rPr>
        <w:fldChar w:fldCharType="end"/>
      </w:r>
      <w:r>
        <w:instrText>)</w:instrText>
      </w:r>
      <w:r>
        <w:fldChar w:fldCharType="end"/>
      </w:r>
    </w:p>
    <w:p w14:paraId="7C4BC733" w14:textId="0201A72D" w:rsidR="002E1B64" w:rsidRDefault="002E1B64" w:rsidP="003517E9">
      <w:pPr>
        <w:pStyle w:val="TdocText"/>
      </w:pPr>
      <w:r>
        <w:t xml:space="preserve">In the cross-correlation analysis, the ratio of the max cross-correlation value in the time domain within a timing window </w:t>
      </w:r>
      <w:r w:rsidRPr="00A71FB5">
        <w:rPr>
          <w:rFonts w:ascii="Symbol" w:hAnsi="Symbol"/>
        </w:rPr>
        <w:t></w:t>
      </w:r>
      <w:r>
        <w:t xml:space="preserve">t to the max autocorrelation peak at zero timing offset </w:t>
      </w:r>
      <w:r w:rsidR="00EE488F">
        <w:t>(</w:t>
      </w:r>
      <w:r w:rsidR="00EE488F" w:rsidRPr="003517E9">
        <w:rPr>
          <w:position w:val="-12"/>
        </w:rPr>
        <w:object w:dxaOrig="740" w:dyaOrig="360" w14:anchorId="16209208">
          <v:shape id="_x0000_i1038" type="#_x0000_t75" style="width:36.85pt;height:18.45pt" o:ole="">
            <v:imagedata r:id="rId37" o:title=""/>
          </v:shape>
          <o:OLEObject Type="Embed" ProgID="Equation.DSMT4" ShapeID="_x0000_i1038" DrawAspect="Content" ObjectID="_1618437045" r:id="rId38"/>
        </w:object>
      </w:r>
      <w:r w:rsidR="00EE488F">
        <w:t xml:space="preserve">) </w:t>
      </w:r>
      <w:r>
        <w:t>is considered</w:t>
      </w:r>
      <w:r w:rsidR="00BE14E8">
        <w:t xml:space="preserve"> as a metric for comparison</w:t>
      </w:r>
      <w:r>
        <w:t>.</w:t>
      </w:r>
      <w:r w:rsidR="00EE488F">
        <w:t xml:space="preserve"> The corresponding CDF curves are presented in </w:t>
      </w:r>
      <w:r w:rsidR="004557D1">
        <w:fldChar w:fldCharType="begin"/>
      </w:r>
      <w:r w:rsidR="004557D1">
        <w:instrText xml:space="preserve"> REF _Ref1039188 \h </w:instrText>
      </w:r>
      <w:r w:rsidR="004557D1">
        <w:fldChar w:fldCharType="separate"/>
      </w:r>
      <w:r w:rsidR="00B92875">
        <w:t xml:space="preserve">Figure </w:t>
      </w:r>
      <w:r w:rsidR="00B92875">
        <w:rPr>
          <w:noProof/>
        </w:rPr>
        <w:t>1</w:t>
      </w:r>
      <w:r w:rsidR="004557D1">
        <w:fldChar w:fldCharType="end"/>
      </w:r>
      <w:r w:rsidR="00EE488F">
        <w:t xml:space="preserve"> and the max </w:t>
      </w:r>
      <w:r w:rsidR="00EE488F" w:rsidRPr="00813774">
        <w:rPr>
          <w:position w:val="-12"/>
        </w:rPr>
        <w:object w:dxaOrig="740" w:dyaOrig="360" w14:anchorId="7F9AD79C">
          <v:shape id="_x0000_i1039" type="#_x0000_t75" style="width:36.85pt;height:18.45pt" o:ole="">
            <v:imagedata r:id="rId37" o:title=""/>
          </v:shape>
          <o:OLEObject Type="Embed" ProgID="Equation.DSMT4" ShapeID="_x0000_i1039" DrawAspect="Content" ObjectID="_1618437046" r:id="rId39"/>
        </w:object>
      </w:r>
      <w:r w:rsidR="00EE488F">
        <w:t xml:space="preserve"> values are summarized in </w:t>
      </w:r>
      <w:r w:rsidR="005072AD">
        <w:fldChar w:fldCharType="begin"/>
      </w:r>
      <w:r w:rsidR="005072AD">
        <w:instrText xml:space="preserve"> REF _Ref5364088 \h </w:instrText>
      </w:r>
      <w:r w:rsidR="005072AD">
        <w:fldChar w:fldCharType="separate"/>
      </w:r>
      <w:r w:rsidR="00B92875">
        <w:t xml:space="preserve">Table </w:t>
      </w:r>
      <w:r w:rsidR="00B92875">
        <w:rPr>
          <w:noProof/>
        </w:rPr>
        <w:t>1</w:t>
      </w:r>
      <w:r w:rsidR="005072AD">
        <w:fldChar w:fldCharType="end"/>
      </w:r>
      <w:r w:rsidR="005072AD">
        <w:t>-</w:t>
      </w:r>
      <w:r w:rsidR="005072AD">
        <w:fldChar w:fldCharType="begin"/>
      </w:r>
      <w:r w:rsidR="005072AD">
        <w:instrText xml:space="preserve"> REF _Ref5364109 \h </w:instrText>
      </w:r>
      <w:r w:rsidR="005072AD">
        <w:fldChar w:fldCharType="separate"/>
      </w:r>
      <w:r w:rsidR="00B92875">
        <w:t xml:space="preserve">Table </w:t>
      </w:r>
      <w:r w:rsidR="00B92875">
        <w:rPr>
          <w:noProof/>
        </w:rPr>
        <w:t>2</w:t>
      </w:r>
      <w:r w:rsidR="005072AD">
        <w:fldChar w:fldCharType="end"/>
      </w:r>
      <w:r w:rsidR="00EE488F">
        <w:t xml:space="preserve">. </w:t>
      </w:r>
      <w:r w:rsidR="00B87A3A">
        <w:t xml:space="preserve">The same sampling rate of 1.92 MHz is </w:t>
      </w:r>
      <w:r w:rsidR="00441879">
        <w:t>assumed</w:t>
      </w:r>
      <w:r w:rsidR="00B87A3A">
        <w:t xml:space="preserve"> and carrier frequency offset (CFO) </w:t>
      </w:r>
      <w:r w:rsidR="00BF6EEF">
        <w:t xml:space="preserve">of 200Hz is </w:t>
      </w:r>
      <w:r w:rsidR="00B87A3A">
        <w:t xml:space="preserve">considered. Also, the dependency on the total number of UE groups </w:t>
      </w:r>
      <w:r w:rsidR="007E0C64" w:rsidRPr="008F379D">
        <w:rPr>
          <w:position w:val="-14"/>
        </w:rPr>
        <w:object w:dxaOrig="499" w:dyaOrig="400" w14:anchorId="36525818">
          <v:shape id="_x0000_i1040" type="#_x0000_t75" style="width:24.75pt;height:20.15pt" o:ole="">
            <v:imagedata r:id="rId22" o:title=""/>
          </v:shape>
          <o:OLEObject Type="Embed" ProgID="Equation.DSMT4" ShapeID="_x0000_i1040" DrawAspect="Content" ObjectID="_1618437047" r:id="rId40"/>
        </w:object>
      </w:r>
      <w:r w:rsidR="007E0C64">
        <w:t xml:space="preserve"> </w:t>
      </w:r>
      <w:r w:rsidR="00B87A3A">
        <w:t>is evaluated</w:t>
      </w:r>
      <w:r w:rsidR="00BB1EE6">
        <w:t>. For that purpose,</w:t>
      </w:r>
      <w:r w:rsidR="008A0D02">
        <w:t xml:space="preserve"> the</w:t>
      </w:r>
      <w:r w:rsidR="00BB1EE6">
        <w:t xml:space="preserve"> </w:t>
      </w:r>
      <w:r w:rsidR="007E0C64">
        <w:t>two values</w:t>
      </w:r>
      <w:r w:rsidR="00063A59">
        <w:t xml:space="preserve"> </w:t>
      </w:r>
      <w:r w:rsidR="008A0D02">
        <w:t>are used:</w:t>
      </w:r>
      <w:r w:rsidR="008A0D02" w:rsidRPr="008F379D">
        <w:t xml:space="preserve"> </w:t>
      </w:r>
      <w:r w:rsidR="00063A59" w:rsidRPr="008F379D">
        <w:rPr>
          <w:position w:val="-14"/>
        </w:rPr>
        <w:object w:dxaOrig="859" w:dyaOrig="400" w14:anchorId="39179573">
          <v:shape id="_x0000_i1041" type="#_x0000_t75" style="width:42.6pt;height:20.15pt" o:ole="">
            <v:imagedata r:id="rId41" o:title=""/>
          </v:shape>
          <o:OLEObject Type="Embed" ProgID="Equation.DSMT4" ShapeID="_x0000_i1041" DrawAspect="Content" ObjectID="_1618437048" r:id="rId42"/>
        </w:object>
      </w:r>
      <w:r w:rsidR="00063A59">
        <w:t xml:space="preserve"> and </w:t>
      </w:r>
      <w:r w:rsidR="00063A59" w:rsidRPr="008F379D">
        <w:rPr>
          <w:position w:val="-14"/>
        </w:rPr>
        <w:object w:dxaOrig="859" w:dyaOrig="400" w14:anchorId="418128A9">
          <v:shape id="_x0000_i1042" type="#_x0000_t75" style="width:42.6pt;height:20.15pt" o:ole="">
            <v:imagedata r:id="rId43" o:title=""/>
          </v:shape>
          <o:OLEObject Type="Embed" ProgID="Equation.DSMT4" ShapeID="_x0000_i1042" DrawAspect="Content" ObjectID="_1618437049" r:id="rId44"/>
        </w:object>
      </w:r>
      <w:r w:rsidR="008A0D02">
        <w:t>;</w:t>
      </w:r>
      <w:r w:rsidR="00063A59">
        <w:t xml:space="preserve"> </w:t>
      </w:r>
      <w:r w:rsidR="008E7830">
        <w:t>and cross-correlation metrics</w:t>
      </w:r>
      <w:r w:rsidR="008A0D02">
        <w:t xml:space="preserve"> </w:t>
      </w:r>
      <w:r w:rsidR="008A0D02" w:rsidRPr="00813774">
        <w:rPr>
          <w:position w:val="-12"/>
        </w:rPr>
        <w:object w:dxaOrig="740" w:dyaOrig="360" w14:anchorId="0A6C42E6">
          <v:shape id="_x0000_i1043" type="#_x0000_t75" style="width:36.85pt;height:18.45pt" o:ole="">
            <v:imagedata r:id="rId37" o:title=""/>
          </v:shape>
          <o:OLEObject Type="Embed" ProgID="Equation.DSMT4" ShapeID="_x0000_i1043" DrawAspect="Content" ObjectID="_1618437050" r:id="rId45"/>
        </w:object>
      </w:r>
      <w:r w:rsidR="008E7830">
        <w:t xml:space="preserve"> </w:t>
      </w:r>
      <w:r w:rsidR="0042496C">
        <w:t xml:space="preserve">are collected </w:t>
      </w:r>
      <w:r w:rsidR="008E7830">
        <w:t xml:space="preserve">across all possible </w:t>
      </w:r>
      <w:r w:rsidR="008A0D02">
        <w:t xml:space="preserve">WUS sequence </w:t>
      </w:r>
      <w:r w:rsidR="008E7830">
        <w:t>pairs</w:t>
      </w:r>
      <w:r w:rsidR="008A0D02">
        <w:t xml:space="preserve">. Note that the common UE group is assumed as one of the </w:t>
      </w:r>
      <w:r w:rsidR="008A0D02" w:rsidRPr="008F379D">
        <w:rPr>
          <w:position w:val="-14"/>
        </w:rPr>
        <w:object w:dxaOrig="499" w:dyaOrig="400" w14:anchorId="5CA79975">
          <v:shape id="_x0000_i1044" type="#_x0000_t75" style="width:24.75pt;height:20.15pt" o:ole="">
            <v:imagedata r:id="rId46" o:title=""/>
          </v:shape>
          <o:OLEObject Type="Embed" ProgID="Equation.DSMT4" ShapeID="_x0000_i1044" DrawAspect="Content" ObjectID="_1618437051" r:id="rId47"/>
        </w:object>
      </w:r>
      <w:r w:rsidR="008A0D02">
        <w:t xml:space="preserve"> UE groups. The legacy WUS </w:t>
      </w:r>
      <w:r w:rsidR="0095640F">
        <w:t xml:space="preserve">is reused as the common WUS. Therefore, </w:t>
      </w:r>
      <w:r w:rsidR="00F16F4F">
        <w:t xml:space="preserve">the </w:t>
      </w:r>
      <w:r w:rsidR="0095640F">
        <w:t xml:space="preserve">cross-correlation with the </w:t>
      </w:r>
      <w:r w:rsidR="0062419E">
        <w:t>legacy WUS</w:t>
      </w:r>
      <w:r w:rsidR="008A0D02">
        <w:t xml:space="preserve"> sequence is always </w:t>
      </w:r>
      <w:r w:rsidR="0095640F">
        <w:t>included in the results</w:t>
      </w:r>
      <w:r w:rsidR="00B87A3A">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1"/>
        <w:gridCol w:w="4981"/>
      </w:tblGrid>
      <w:tr w:rsidR="00C44261" w:rsidRPr="003517E9" w14:paraId="20A3A704" w14:textId="77777777" w:rsidTr="003517E9">
        <w:tc>
          <w:tcPr>
            <w:tcW w:w="4981" w:type="dxa"/>
            <w:vAlign w:val="center"/>
          </w:tcPr>
          <w:p w14:paraId="0AC0BFF8" w14:textId="0556A4F2" w:rsidR="00C44261" w:rsidRPr="0042496C" w:rsidRDefault="004D715F" w:rsidP="003517E9">
            <w:pPr>
              <w:spacing w:before="0" w:after="0" w:line="0" w:lineRule="atLeast"/>
              <w:jc w:val="center"/>
            </w:pPr>
            <w:r w:rsidRPr="004D715F">
              <w:rPr>
                <w:noProof/>
              </w:rPr>
              <w:lastRenderedPageBreak/>
              <w:drawing>
                <wp:inline distT="0" distB="0" distL="0" distR="0" wp14:anchorId="0F19A2A0" wp14:editId="1A4468EF">
                  <wp:extent cx="3171600" cy="23616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171600" cy="2361600"/>
                          </a:xfrm>
                          <a:prstGeom prst="rect">
                            <a:avLst/>
                          </a:prstGeom>
                          <a:noFill/>
                          <a:ln>
                            <a:noFill/>
                          </a:ln>
                        </pic:spPr>
                      </pic:pic>
                    </a:graphicData>
                  </a:graphic>
                </wp:inline>
              </w:drawing>
            </w:r>
          </w:p>
        </w:tc>
        <w:tc>
          <w:tcPr>
            <w:tcW w:w="4981" w:type="dxa"/>
            <w:vAlign w:val="center"/>
          </w:tcPr>
          <w:p w14:paraId="1F9134CF" w14:textId="297C2B6C" w:rsidR="00C44261" w:rsidRPr="003517E9" w:rsidRDefault="00371BC5" w:rsidP="003517E9">
            <w:pPr>
              <w:spacing w:before="0" w:after="0" w:line="0" w:lineRule="atLeast"/>
              <w:jc w:val="center"/>
            </w:pPr>
            <w:r w:rsidRPr="00371BC5">
              <w:rPr>
                <w:noProof/>
              </w:rPr>
              <w:drawing>
                <wp:inline distT="0" distB="0" distL="0" distR="0" wp14:anchorId="713EDD6D" wp14:editId="43152DBD">
                  <wp:extent cx="3164400" cy="2358000"/>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164400" cy="2358000"/>
                          </a:xfrm>
                          <a:prstGeom prst="rect">
                            <a:avLst/>
                          </a:prstGeom>
                          <a:noFill/>
                          <a:ln>
                            <a:noFill/>
                          </a:ln>
                        </pic:spPr>
                      </pic:pic>
                    </a:graphicData>
                  </a:graphic>
                </wp:inline>
              </w:drawing>
            </w:r>
          </w:p>
        </w:tc>
      </w:tr>
      <w:tr w:rsidR="00C44261" w:rsidRPr="003517E9" w14:paraId="5180AEF6" w14:textId="77777777" w:rsidTr="003517E9">
        <w:tc>
          <w:tcPr>
            <w:tcW w:w="4981" w:type="dxa"/>
            <w:vAlign w:val="center"/>
          </w:tcPr>
          <w:p w14:paraId="414B18AC" w14:textId="2AE3E7E1" w:rsidR="00C44261" w:rsidRPr="0042496C" w:rsidRDefault="005F50AF" w:rsidP="003517E9">
            <w:pPr>
              <w:spacing w:before="0" w:after="0" w:line="0" w:lineRule="atLeast"/>
              <w:jc w:val="center"/>
            </w:pPr>
            <w:r>
              <w:t>(</w:t>
            </w:r>
            <w:r w:rsidR="003131A8">
              <w:t>a</w:t>
            </w:r>
            <w:r>
              <w:t>)</w:t>
            </w:r>
          </w:p>
        </w:tc>
        <w:tc>
          <w:tcPr>
            <w:tcW w:w="4981" w:type="dxa"/>
            <w:vAlign w:val="center"/>
          </w:tcPr>
          <w:p w14:paraId="78FE5E9D" w14:textId="2A6B2488" w:rsidR="00C44261" w:rsidRPr="0042496C" w:rsidRDefault="005F50AF" w:rsidP="003517E9">
            <w:pPr>
              <w:spacing w:before="0" w:after="0" w:line="0" w:lineRule="atLeast"/>
              <w:jc w:val="center"/>
            </w:pPr>
            <w:r>
              <w:t>(</w:t>
            </w:r>
            <w:r w:rsidR="003131A8">
              <w:t>b</w:t>
            </w:r>
            <w:r>
              <w:t>)</w:t>
            </w:r>
          </w:p>
        </w:tc>
      </w:tr>
      <w:tr w:rsidR="00C44261" w:rsidRPr="003517E9" w14:paraId="42B74E3D" w14:textId="77777777" w:rsidTr="003517E9">
        <w:tc>
          <w:tcPr>
            <w:tcW w:w="4981" w:type="dxa"/>
            <w:vAlign w:val="center"/>
          </w:tcPr>
          <w:p w14:paraId="50C4EC02" w14:textId="6959BC44" w:rsidR="00C44261" w:rsidRPr="0042496C" w:rsidRDefault="00FE0D4A" w:rsidP="003517E9">
            <w:pPr>
              <w:spacing w:before="0" w:after="0" w:line="0" w:lineRule="atLeast"/>
              <w:jc w:val="center"/>
            </w:pPr>
            <w:r w:rsidRPr="00FE0D4A">
              <w:rPr>
                <w:noProof/>
              </w:rPr>
              <w:drawing>
                <wp:inline distT="0" distB="0" distL="0" distR="0" wp14:anchorId="3AA92ABB" wp14:editId="601EF243">
                  <wp:extent cx="3164400" cy="2358000"/>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164400" cy="2358000"/>
                          </a:xfrm>
                          <a:prstGeom prst="rect">
                            <a:avLst/>
                          </a:prstGeom>
                          <a:noFill/>
                          <a:ln>
                            <a:noFill/>
                          </a:ln>
                        </pic:spPr>
                      </pic:pic>
                    </a:graphicData>
                  </a:graphic>
                </wp:inline>
              </w:drawing>
            </w:r>
          </w:p>
        </w:tc>
        <w:tc>
          <w:tcPr>
            <w:tcW w:w="4981" w:type="dxa"/>
            <w:vAlign w:val="center"/>
          </w:tcPr>
          <w:p w14:paraId="2D9EDDFF" w14:textId="2A10D797" w:rsidR="00C44261" w:rsidRPr="003517E9" w:rsidRDefault="00FE0D4A" w:rsidP="003517E9">
            <w:pPr>
              <w:spacing w:before="0" w:after="0" w:line="0" w:lineRule="atLeast"/>
              <w:jc w:val="center"/>
            </w:pPr>
            <w:r w:rsidRPr="00FE0D4A">
              <w:rPr>
                <w:noProof/>
              </w:rPr>
              <w:drawing>
                <wp:inline distT="0" distB="0" distL="0" distR="0" wp14:anchorId="124EDFF5" wp14:editId="14DC560E">
                  <wp:extent cx="3164400" cy="2358000"/>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64400" cy="2358000"/>
                          </a:xfrm>
                          <a:prstGeom prst="rect">
                            <a:avLst/>
                          </a:prstGeom>
                          <a:noFill/>
                          <a:ln>
                            <a:noFill/>
                          </a:ln>
                        </pic:spPr>
                      </pic:pic>
                    </a:graphicData>
                  </a:graphic>
                </wp:inline>
              </w:drawing>
            </w:r>
          </w:p>
        </w:tc>
      </w:tr>
      <w:tr w:rsidR="00C44261" w:rsidRPr="003517E9" w14:paraId="6A804C91" w14:textId="77777777" w:rsidTr="003517E9">
        <w:tc>
          <w:tcPr>
            <w:tcW w:w="4981" w:type="dxa"/>
            <w:vAlign w:val="center"/>
          </w:tcPr>
          <w:p w14:paraId="0D414265" w14:textId="18B6A716" w:rsidR="00C44261" w:rsidRPr="0042496C" w:rsidRDefault="005F50AF" w:rsidP="003517E9">
            <w:pPr>
              <w:spacing w:before="0" w:after="0" w:line="0" w:lineRule="atLeast"/>
              <w:jc w:val="center"/>
            </w:pPr>
            <w:r>
              <w:t>(c)</w:t>
            </w:r>
          </w:p>
        </w:tc>
        <w:tc>
          <w:tcPr>
            <w:tcW w:w="4981" w:type="dxa"/>
            <w:vAlign w:val="center"/>
          </w:tcPr>
          <w:p w14:paraId="1B9CD411" w14:textId="44DE5FA3" w:rsidR="00C44261" w:rsidRPr="0042496C" w:rsidRDefault="005F50AF" w:rsidP="003517E9">
            <w:pPr>
              <w:spacing w:before="0" w:after="0" w:line="0" w:lineRule="atLeast"/>
              <w:jc w:val="center"/>
            </w:pPr>
            <w:r>
              <w:t>(d)</w:t>
            </w:r>
          </w:p>
        </w:tc>
      </w:tr>
      <w:tr w:rsidR="00C44261" w:rsidRPr="003517E9" w14:paraId="3EA74DFE" w14:textId="77777777" w:rsidTr="003517E9">
        <w:tc>
          <w:tcPr>
            <w:tcW w:w="4981" w:type="dxa"/>
            <w:vAlign w:val="center"/>
          </w:tcPr>
          <w:p w14:paraId="57063FF3" w14:textId="612ECE39" w:rsidR="00C44261" w:rsidRPr="0042496C" w:rsidRDefault="001405B7" w:rsidP="003517E9">
            <w:pPr>
              <w:spacing w:before="0" w:after="0" w:line="0" w:lineRule="atLeast"/>
              <w:jc w:val="center"/>
            </w:pPr>
            <w:r w:rsidRPr="001405B7">
              <w:rPr>
                <w:noProof/>
              </w:rPr>
              <w:drawing>
                <wp:inline distT="0" distB="0" distL="0" distR="0" wp14:anchorId="105E3764" wp14:editId="58042983">
                  <wp:extent cx="3164400" cy="235800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64400" cy="2358000"/>
                          </a:xfrm>
                          <a:prstGeom prst="rect">
                            <a:avLst/>
                          </a:prstGeom>
                          <a:noFill/>
                          <a:ln>
                            <a:noFill/>
                          </a:ln>
                        </pic:spPr>
                      </pic:pic>
                    </a:graphicData>
                  </a:graphic>
                </wp:inline>
              </w:drawing>
            </w:r>
          </w:p>
        </w:tc>
        <w:tc>
          <w:tcPr>
            <w:tcW w:w="4981" w:type="dxa"/>
            <w:vAlign w:val="center"/>
          </w:tcPr>
          <w:p w14:paraId="25D02EFC" w14:textId="722369E9" w:rsidR="00C44261" w:rsidRPr="003517E9" w:rsidRDefault="00544257" w:rsidP="003517E9">
            <w:pPr>
              <w:spacing w:before="0" w:after="0" w:line="0" w:lineRule="atLeast"/>
              <w:jc w:val="center"/>
            </w:pPr>
            <w:r w:rsidRPr="00544257">
              <w:rPr>
                <w:noProof/>
              </w:rPr>
              <w:drawing>
                <wp:inline distT="0" distB="0" distL="0" distR="0" wp14:anchorId="2FF4FE0D" wp14:editId="74E17FBF">
                  <wp:extent cx="3164400" cy="2358000"/>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164400" cy="2358000"/>
                          </a:xfrm>
                          <a:prstGeom prst="rect">
                            <a:avLst/>
                          </a:prstGeom>
                          <a:noFill/>
                          <a:ln>
                            <a:noFill/>
                          </a:ln>
                        </pic:spPr>
                      </pic:pic>
                    </a:graphicData>
                  </a:graphic>
                </wp:inline>
              </w:drawing>
            </w:r>
          </w:p>
        </w:tc>
      </w:tr>
      <w:tr w:rsidR="00C44261" w:rsidRPr="003517E9" w14:paraId="39B9A5EF" w14:textId="77777777" w:rsidTr="003517E9">
        <w:tc>
          <w:tcPr>
            <w:tcW w:w="4981" w:type="dxa"/>
            <w:vAlign w:val="center"/>
          </w:tcPr>
          <w:p w14:paraId="3367D7F3" w14:textId="44833A8B" w:rsidR="00C44261" w:rsidRPr="0042496C" w:rsidRDefault="00D21CEA" w:rsidP="003517E9">
            <w:pPr>
              <w:spacing w:before="0" w:after="0" w:line="0" w:lineRule="atLeast"/>
              <w:jc w:val="center"/>
            </w:pPr>
            <w:r>
              <w:t>(e)</w:t>
            </w:r>
          </w:p>
        </w:tc>
        <w:tc>
          <w:tcPr>
            <w:tcW w:w="4981" w:type="dxa"/>
            <w:vAlign w:val="center"/>
          </w:tcPr>
          <w:p w14:paraId="31D4547A" w14:textId="02D1A82C" w:rsidR="00C44261" w:rsidRPr="0042496C" w:rsidRDefault="00D21CEA" w:rsidP="003517E9">
            <w:pPr>
              <w:spacing w:before="0" w:after="0" w:line="0" w:lineRule="atLeast"/>
              <w:jc w:val="center"/>
            </w:pPr>
            <w:r>
              <w:t>(f)</w:t>
            </w:r>
          </w:p>
        </w:tc>
      </w:tr>
      <w:tr w:rsidR="00C44261" w:rsidRPr="003517E9" w14:paraId="568391CB" w14:textId="77777777" w:rsidTr="003517E9">
        <w:tc>
          <w:tcPr>
            <w:tcW w:w="4981" w:type="dxa"/>
            <w:vAlign w:val="center"/>
          </w:tcPr>
          <w:p w14:paraId="221FA4F5" w14:textId="36F75DC6" w:rsidR="00C44261" w:rsidRPr="0042496C" w:rsidRDefault="00A37789" w:rsidP="003517E9">
            <w:pPr>
              <w:spacing w:before="0" w:after="0" w:line="0" w:lineRule="atLeast"/>
              <w:jc w:val="center"/>
            </w:pPr>
            <w:r w:rsidRPr="00A37789">
              <w:rPr>
                <w:noProof/>
              </w:rPr>
              <w:lastRenderedPageBreak/>
              <w:drawing>
                <wp:inline distT="0" distB="0" distL="0" distR="0" wp14:anchorId="6D53333A" wp14:editId="3F1422B4">
                  <wp:extent cx="3164400" cy="2358000"/>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164400" cy="2358000"/>
                          </a:xfrm>
                          <a:prstGeom prst="rect">
                            <a:avLst/>
                          </a:prstGeom>
                          <a:noFill/>
                          <a:ln>
                            <a:noFill/>
                          </a:ln>
                        </pic:spPr>
                      </pic:pic>
                    </a:graphicData>
                  </a:graphic>
                </wp:inline>
              </w:drawing>
            </w:r>
          </w:p>
        </w:tc>
        <w:tc>
          <w:tcPr>
            <w:tcW w:w="4981" w:type="dxa"/>
            <w:vAlign w:val="center"/>
          </w:tcPr>
          <w:p w14:paraId="33080A65" w14:textId="4C44CBF1" w:rsidR="00C44261" w:rsidRPr="003517E9" w:rsidRDefault="0062738C" w:rsidP="003517E9">
            <w:pPr>
              <w:spacing w:before="0" w:after="0" w:line="0" w:lineRule="atLeast"/>
              <w:jc w:val="center"/>
            </w:pPr>
            <w:r w:rsidRPr="0062738C">
              <w:rPr>
                <w:noProof/>
              </w:rPr>
              <w:drawing>
                <wp:inline distT="0" distB="0" distL="0" distR="0" wp14:anchorId="23CEF199" wp14:editId="496057E8">
                  <wp:extent cx="3164400" cy="2358000"/>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164400" cy="2358000"/>
                          </a:xfrm>
                          <a:prstGeom prst="rect">
                            <a:avLst/>
                          </a:prstGeom>
                          <a:noFill/>
                          <a:ln>
                            <a:noFill/>
                          </a:ln>
                        </pic:spPr>
                      </pic:pic>
                    </a:graphicData>
                  </a:graphic>
                </wp:inline>
              </w:drawing>
            </w:r>
          </w:p>
        </w:tc>
      </w:tr>
      <w:tr w:rsidR="00C44261" w:rsidRPr="003517E9" w14:paraId="340451CA" w14:textId="77777777" w:rsidTr="003517E9">
        <w:tc>
          <w:tcPr>
            <w:tcW w:w="4981" w:type="dxa"/>
            <w:vAlign w:val="center"/>
          </w:tcPr>
          <w:p w14:paraId="107CEF11" w14:textId="2167E444" w:rsidR="00C44261" w:rsidRPr="0042496C" w:rsidRDefault="00D21CEA" w:rsidP="003517E9">
            <w:pPr>
              <w:spacing w:before="0" w:after="0" w:line="0" w:lineRule="atLeast"/>
              <w:jc w:val="center"/>
            </w:pPr>
            <w:r>
              <w:t>(g)</w:t>
            </w:r>
          </w:p>
        </w:tc>
        <w:tc>
          <w:tcPr>
            <w:tcW w:w="4981" w:type="dxa"/>
            <w:vAlign w:val="center"/>
          </w:tcPr>
          <w:p w14:paraId="23EC1C3F" w14:textId="2099A4F6" w:rsidR="00C44261" w:rsidRPr="0042496C" w:rsidRDefault="00D21CEA" w:rsidP="003517E9">
            <w:pPr>
              <w:spacing w:before="0" w:after="0" w:line="0" w:lineRule="atLeast"/>
              <w:jc w:val="center"/>
            </w:pPr>
            <w:r>
              <w:t>(h)</w:t>
            </w:r>
          </w:p>
        </w:tc>
      </w:tr>
      <w:tr w:rsidR="00C44261" w:rsidRPr="003517E9" w14:paraId="105C6946" w14:textId="77777777" w:rsidTr="003517E9">
        <w:tc>
          <w:tcPr>
            <w:tcW w:w="4981" w:type="dxa"/>
            <w:vAlign w:val="center"/>
          </w:tcPr>
          <w:p w14:paraId="24C26F00" w14:textId="4A0EEDE0" w:rsidR="00C44261" w:rsidRPr="0042496C" w:rsidRDefault="00E1421C" w:rsidP="003517E9">
            <w:pPr>
              <w:spacing w:before="0" w:after="0" w:line="0" w:lineRule="atLeast"/>
              <w:jc w:val="center"/>
            </w:pPr>
            <w:r w:rsidRPr="00E1421C">
              <w:rPr>
                <w:noProof/>
              </w:rPr>
              <w:drawing>
                <wp:inline distT="0" distB="0" distL="0" distR="0" wp14:anchorId="538F50CD" wp14:editId="5D2553F2">
                  <wp:extent cx="3164400" cy="2358000"/>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164400" cy="2358000"/>
                          </a:xfrm>
                          <a:prstGeom prst="rect">
                            <a:avLst/>
                          </a:prstGeom>
                          <a:noFill/>
                          <a:ln>
                            <a:noFill/>
                          </a:ln>
                        </pic:spPr>
                      </pic:pic>
                    </a:graphicData>
                  </a:graphic>
                </wp:inline>
              </w:drawing>
            </w:r>
          </w:p>
        </w:tc>
        <w:tc>
          <w:tcPr>
            <w:tcW w:w="4981" w:type="dxa"/>
            <w:vAlign w:val="center"/>
          </w:tcPr>
          <w:p w14:paraId="52292AD1" w14:textId="11AD01F9" w:rsidR="00C44261" w:rsidRPr="003517E9" w:rsidRDefault="00030F36" w:rsidP="003517E9">
            <w:pPr>
              <w:spacing w:before="0" w:after="0" w:line="0" w:lineRule="atLeast"/>
              <w:jc w:val="center"/>
            </w:pPr>
            <w:r w:rsidRPr="00030F36">
              <w:rPr>
                <w:noProof/>
              </w:rPr>
              <w:drawing>
                <wp:inline distT="0" distB="0" distL="0" distR="0" wp14:anchorId="7B845475" wp14:editId="2D099C89">
                  <wp:extent cx="3164400" cy="2358000"/>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64400" cy="2358000"/>
                          </a:xfrm>
                          <a:prstGeom prst="rect">
                            <a:avLst/>
                          </a:prstGeom>
                          <a:noFill/>
                          <a:ln>
                            <a:noFill/>
                          </a:ln>
                        </pic:spPr>
                      </pic:pic>
                    </a:graphicData>
                  </a:graphic>
                </wp:inline>
              </w:drawing>
            </w:r>
          </w:p>
        </w:tc>
      </w:tr>
      <w:tr w:rsidR="00C44261" w:rsidRPr="003517E9" w14:paraId="4065B443" w14:textId="77777777" w:rsidTr="003517E9">
        <w:tc>
          <w:tcPr>
            <w:tcW w:w="4981" w:type="dxa"/>
            <w:vAlign w:val="center"/>
          </w:tcPr>
          <w:p w14:paraId="443F51A2" w14:textId="1A93EBCE" w:rsidR="00C44261" w:rsidRPr="0042496C" w:rsidRDefault="00D21CEA" w:rsidP="003517E9">
            <w:pPr>
              <w:spacing w:before="0" w:after="0" w:line="0" w:lineRule="atLeast"/>
              <w:jc w:val="center"/>
            </w:pPr>
            <w:r>
              <w:t>(i)</w:t>
            </w:r>
          </w:p>
        </w:tc>
        <w:tc>
          <w:tcPr>
            <w:tcW w:w="4981" w:type="dxa"/>
            <w:vAlign w:val="center"/>
          </w:tcPr>
          <w:p w14:paraId="4C2B9E53" w14:textId="2270A6D4" w:rsidR="00C44261" w:rsidRPr="0042496C" w:rsidRDefault="00D21CEA" w:rsidP="003517E9">
            <w:pPr>
              <w:spacing w:before="0" w:after="0" w:line="0" w:lineRule="atLeast"/>
              <w:jc w:val="center"/>
            </w:pPr>
            <w:r>
              <w:t>(j)</w:t>
            </w:r>
          </w:p>
        </w:tc>
      </w:tr>
    </w:tbl>
    <w:p w14:paraId="73FB22E4" w14:textId="073734E0" w:rsidR="00196175" w:rsidRDefault="00196175" w:rsidP="00196175">
      <w:pPr>
        <w:pStyle w:val="TdocFigureCaption"/>
      </w:pPr>
      <w:bookmarkStart w:id="13" w:name="_Ref1039188"/>
      <w:r>
        <w:t xml:space="preserve">Figure </w:t>
      </w:r>
      <w:r>
        <w:rPr>
          <w:noProof/>
        </w:rPr>
        <w:fldChar w:fldCharType="begin"/>
      </w:r>
      <w:r>
        <w:rPr>
          <w:noProof/>
        </w:rPr>
        <w:instrText xml:space="preserve"> SEQ Figure \* ARABIC </w:instrText>
      </w:r>
      <w:r>
        <w:rPr>
          <w:noProof/>
        </w:rPr>
        <w:fldChar w:fldCharType="separate"/>
      </w:r>
      <w:r w:rsidR="00B92875">
        <w:rPr>
          <w:noProof/>
        </w:rPr>
        <w:t>1</w:t>
      </w:r>
      <w:r>
        <w:rPr>
          <w:noProof/>
        </w:rPr>
        <w:fldChar w:fldCharType="end"/>
      </w:r>
      <w:bookmarkEnd w:id="13"/>
      <w:r>
        <w:t xml:space="preserve">. Cross-correlation results analysis for different timing windows </w:t>
      </w:r>
      <w:r w:rsidRPr="00A71FB5">
        <w:rPr>
          <w:rFonts w:ascii="Symbol" w:hAnsi="Symbol"/>
        </w:rPr>
        <w:t></w:t>
      </w:r>
      <w:r>
        <w:t xml:space="preserve">t (samples @ 1.92MHz sampling rate), </w:t>
      </w:r>
      <w:r w:rsidR="00BF6EEF">
        <w:t xml:space="preserve">200Hz </w:t>
      </w:r>
      <w:r>
        <w:t>frequency offset</w:t>
      </w:r>
      <w:r w:rsidRPr="002D6CE4">
        <w:t>.</w:t>
      </w:r>
    </w:p>
    <w:p w14:paraId="52A0AB77" w14:textId="77777777" w:rsidR="008F0300" w:rsidRDefault="008F0300" w:rsidP="00196175">
      <w:pPr>
        <w:pStyle w:val="TdocText"/>
      </w:pPr>
    </w:p>
    <w:p w14:paraId="27CBB914" w14:textId="6BF42ADF" w:rsidR="008F0300" w:rsidRDefault="008F0300" w:rsidP="008F0300">
      <w:pPr>
        <w:pStyle w:val="TdocTableCaption"/>
      </w:pPr>
      <w:bookmarkStart w:id="14" w:name="_Ref5364088"/>
      <w:r>
        <w:t xml:space="preserve">Table </w:t>
      </w:r>
      <w:r>
        <w:rPr>
          <w:noProof/>
        </w:rPr>
        <w:fldChar w:fldCharType="begin"/>
      </w:r>
      <w:r>
        <w:rPr>
          <w:noProof/>
        </w:rPr>
        <w:instrText xml:space="preserve"> SEQ Table \* ARABIC </w:instrText>
      </w:r>
      <w:r>
        <w:rPr>
          <w:noProof/>
        </w:rPr>
        <w:fldChar w:fldCharType="separate"/>
      </w:r>
      <w:r w:rsidR="00B92875">
        <w:rPr>
          <w:noProof/>
        </w:rPr>
        <w:t>1</w:t>
      </w:r>
      <w:r>
        <w:rPr>
          <w:noProof/>
        </w:rPr>
        <w:fldChar w:fldCharType="end"/>
      </w:r>
      <w:bookmarkEnd w:id="14"/>
      <w:r>
        <w:t xml:space="preserve">. Max </w:t>
      </w:r>
      <w:r w:rsidRPr="003517E9">
        <w:rPr>
          <w:position w:val="-12"/>
        </w:rPr>
        <w:object w:dxaOrig="740" w:dyaOrig="360" w14:anchorId="0B3BCE8B">
          <v:shape id="_x0000_i1045" type="#_x0000_t75" style="width:36.85pt;height:18.45pt" o:ole="">
            <v:imagedata r:id="rId37" o:title=""/>
          </v:shape>
          <o:OLEObject Type="Embed" ProgID="Equation.DSMT4" ShapeID="_x0000_i1045" DrawAspect="Content" ObjectID="_1618437052" r:id="rId58"/>
        </w:object>
      </w:r>
      <w:r>
        <w:t xml:space="preserve">, dB. </w:t>
      </w:r>
      <w:r w:rsidRPr="008F379D">
        <w:rPr>
          <w:position w:val="-14"/>
        </w:rPr>
        <w:object w:dxaOrig="859" w:dyaOrig="400" w14:anchorId="486C9802">
          <v:shape id="_x0000_i1046" type="#_x0000_t75" style="width:42.6pt;height:20.15pt" o:ole="">
            <v:imagedata r:id="rId41" o:title=""/>
          </v:shape>
          <o:OLEObject Type="Embed" ProgID="Equation.DSMT4" ShapeID="_x0000_i1046" DrawAspect="Content" ObjectID="_1618437053" r:id="rId59"/>
        </w:object>
      </w:r>
      <w:r>
        <w:t xml:space="preserve"> and </w:t>
      </w:r>
      <w:r w:rsidR="00BF6EEF">
        <w:t>20</w:t>
      </w:r>
      <w:r w:rsidR="00BF6EEF" w:rsidRPr="008F0300">
        <w:t xml:space="preserve">0Hz </w:t>
      </w:r>
      <w:r w:rsidRPr="008F0300">
        <w:t>frequency offset</w:t>
      </w:r>
      <w:r w:rsidR="009A306B">
        <w:t>.</w:t>
      </w:r>
    </w:p>
    <w:tbl>
      <w:tblPr>
        <w:tblStyle w:val="TableGrid"/>
        <w:tblW w:w="0" w:type="auto"/>
        <w:tblLook w:val="04A0" w:firstRow="1" w:lastRow="0" w:firstColumn="1" w:lastColumn="0" w:noHBand="0" w:noVBand="1"/>
      </w:tblPr>
      <w:tblGrid>
        <w:gridCol w:w="1585"/>
        <w:gridCol w:w="1553"/>
        <w:gridCol w:w="1773"/>
        <w:gridCol w:w="1553"/>
        <w:gridCol w:w="1907"/>
        <w:gridCol w:w="1591"/>
      </w:tblGrid>
      <w:tr w:rsidR="00F0363E" w:rsidRPr="00FA355E" w14:paraId="71BF6EED" w14:textId="77777777" w:rsidTr="00186072">
        <w:tc>
          <w:tcPr>
            <w:tcW w:w="1585" w:type="dxa"/>
            <w:shd w:val="clear" w:color="auto" w:fill="D0CECE" w:themeFill="background2" w:themeFillShade="E6"/>
            <w:vAlign w:val="bottom"/>
          </w:tcPr>
          <w:p w14:paraId="0EE19329" w14:textId="454DC90A" w:rsidR="00F0363E" w:rsidRPr="00FA355E" w:rsidRDefault="00F0363E" w:rsidP="00FA355E">
            <w:pPr>
              <w:spacing w:before="0" w:after="0" w:line="0" w:lineRule="atLeast"/>
              <w:jc w:val="center"/>
            </w:pPr>
            <w:r w:rsidRPr="00FA355E">
              <w:rPr>
                <w:rFonts w:ascii="Symbol" w:hAnsi="Symbol"/>
              </w:rPr>
              <w:t></w:t>
            </w:r>
            <w:r w:rsidRPr="00FA355E">
              <w:rPr>
                <w:rFonts w:ascii="Arial" w:hAnsi="Arial" w:cs="Arial"/>
              </w:rPr>
              <w:t>t, samples</w:t>
            </w:r>
          </w:p>
        </w:tc>
        <w:tc>
          <w:tcPr>
            <w:tcW w:w="1553" w:type="dxa"/>
            <w:shd w:val="clear" w:color="auto" w:fill="D0CECE" w:themeFill="background2" w:themeFillShade="E6"/>
            <w:vAlign w:val="bottom"/>
          </w:tcPr>
          <w:p w14:paraId="7ED73BC6" w14:textId="4BF5201A" w:rsidR="00F0363E" w:rsidRPr="00FA355E" w:rsidRDefault="00F0363E" w:rsidP="00FA355E">
            <w:pPr>
              <w:spacing w:before="0" w:after="0" w:line="0" w:lineRule="atLeast"/>
              <w:jc w:val="center"/>
              <w:rPr>
                <w:rFonts w:ascii="Arial" w:hAnsi="Arial" w:cs="Arial"/>
              </w:rPr>
            </w:pPr>
            <w:r w:rsidRPr="00FA355E">
              <w:rPr>
                <w:rFonts w:ascii="Arial" w:hAnsi="Arial" w:cs="Arial"/>
              </w:rPr>
              <w:t>TF OCC</w:t>
            </w:r>
            <w:r w:rsidR="00D37159">
              <w:rPr>
                <w:rFonts w:ascii="Arial" w:hAnsi="Arial" w:cs="Arial"/>
              </w:rPr>
              <w:t xml:space="preserve"> Long</w:t>
            </w:r>
          </w:p>
        </w:tc>
        <w:tc>
          <w:tcPr>
            <w:tcW w:w="1773" w:type="dxa"/>
            <w:shd w:val="clear" w:color="auto" w:fill="D0CECE" w:themeFill="background2" w:themeFillShade="E6"/>
            <w:vAlign w:val="bottom"/>
          </w:tcPr>
          <w:p w14:paraId="221D0E65" w14:textId="570CB692" w:rsidR="00F0363E" w:rsidRPr="00FA355E" w:rsidRDefault="00D37159" w:rsidP="00FA355E">
            <w:pPr>
              <w:spacing w:before="0" w:after="0" w:line="0" w:lineRule="atLeast"/>
              <w:jc w:val="center"/>
              <w:rPr>
                <w:rFonts w:ascii="Arial" w:hAnsi="Arial" w:cs="Arial"/>
              </w:rPr>
            </w:pPr>
            <w:r>
              <w:rPr>
                <w:rFonts w:ascii="Arial" w:hAnsi="Arial" w:cs="Arial"/>
              </w:rPr>
              <w:t>Scrambling Shift</w:t>
            </w:r>
          </w:p>
        </w:tc>
        <w:tc>
          <w:tcPr>
            <w:tcW w:w="1553" w:type="dxa"/>
            <w:shd w:val="clear" w:color="auto" w:fill="D0CECE" w:themeFill="background2" w:themeFillShade="E6"/>
            <w:vAlign w:val="bottom"/>
          </w:tcPr>
          <w:p w14:paraId="4FBE0F15" w14:textId="1115D8F5" w:rsidR="00F0363E" w:rsidRPr="00FA355E" w:rsidRDefault="00ED78F7" w:rsidP="00FA355E">
            <w:pPr>
              <w:spacing w:before="0" w:after="0" w:line="0" w:lineRule="atLeast"/>
              <w:jc w:val="center"/>
              <w:rPr>
                <w:rFonts w:ascii="Arial" w:hAnsi="Arial" w:cs="Arial"/>
              </w:rPr>
            </w:pPr>
            <w:r>
              <w:rPr>
                <w:rFonts w:ascii="Arial" w:hAnsi="Arial" w:cs="Arial"/>
              </w:rPr>
              <w:t>GCC</w:t>
            </w:r>
          </w:p>
        </w:tc>
        <w:tc>
          <w:tcPr>
            <w:tcW w:w="1907" w:type="dxa"/>
            <w:shd w:val="clear" w:color="auto" w:fill="D0CECE" w:themeFill="background2" w:themeFillShade="E6"/>
            <w:vAlign w:val="bottom"/>
          </w:tcPr>
          <w:p w14:paraId="49558307" w14:textId="2741D910" w:rsidR="00F0363E" w:rsidRPr="00FA355E" w:rsidRDefault="00D37159" w:rsidP="00FA355E">
            <w:pPr>
              <w:spacing w:before="0" w:after="0" w:line="0" w:lineRule="atLeast"/>
              <w:jc w:val="center"/>
              <w:rPr>
                <w:rFonts w:ascii="Arial" w:hAnsi="Arial" w:cs="Arial"/>
              </w:rPr>
            </w:pPr>
            <w:r>
              <w:rPr>
                <w:rFonts w:ascii="Arial" w:hAnsi="Arial" w:cs="Arial"/>
              </w:rPr>
              <w:t>Phase Shift</w:t>
            </w:r>
          </w:p>
        </w:tc>
        <w:tc>
          <w:tcPr>
            <w:tcW w:w="1591" w:type="dxa"/>
            <w:shd w:val="clear" w:color="auto" w:fill="D0CECE" w:themeFill="background2" w:themeFillShade="E6"/>
            <w:vAlign w:val="bottom"/>
          </w:tcPr>
          <w:p w14:paraId="70907AAF" w14:textId="2431006C" w:rsidR="00F0363E" w:rsidRPr="00FA355E" w:rsidRDefault="00071F31" w:rsidP="00FA355E">
            <w:pPr>
              <w:spacing w:before="0" w:after="0" w:line="0" w:lineRule="atLeast"/>
              <w:jc w:val="center"/>
              <w:rPr>
                <w:rFonts w:ascii="Arial" w:hAnsi="Arial" w:cs="Arial"/>
              </w:rPr>
            </w:pPr>
            <w:r>
              <w:rPr>
                <w:rFonts w:ascii="Arial" w:hAnsi="Arial" w:cs="Arial"/>
              </w:rPr>
              <w:t>TF OCC Short</w:t>
            </w:r>
          </w:p>
        </w:tc>
      </w:tr>
      <w:tr w:rsidR="00BF6EEF" w:rsidRPr="00FA355E" w14:paraId="6945C18C" w14:textId="77777777" w:rsidTr="00186072">
        <w:tc>
          <w:tcPr>
            <w:tcW w:w="1585" w:type="dxa"/>
            <w:vAlign w:val="center"/>
          </w:tcPr>
          <w:p w14:paraId="580F74E7" w14:textId="75B2E90A" w:rsidR="00BF6EEF" w:rsidRPr="00FA355E" w:rsidRDefault="00BF6EEF" w:rsidP="00BF6EEF">
            <w:pPr>
              <w:spacing w:before="0" w:after="0" w:line="0" w:lineRule="atLeast"/>
              <w:jc w:val="right"/>
            </w:pPr>
            <w:r>
              <w:t>11</w:t>
            </w:r>
          </w:p>
        </w:tc>
        <w:tc>
          <w:tcPr>
            <w:tcW w:w="1553" w:type="dxa"/>
          </w:tcPr>
          <w:p w14:paraId="6404B707" w14:textId="111DA161" w:rsidR="00BF6EEF" w:rsidRPr="00FA355E" w:rsidRDefault="00BF6EEF" w:rsidP="00BF6EEF">
            <w:pPr>
              <w:spacing w:before="0" w:after="0" w:line="0" w:lineRule="atLeast"/>
              <w:jc w:val="center"/>
            </w:pPr>
            <w:r w:rsidRPr="004E549D">
              <w:t>-7.99</w:t>
            </w:r>
          </w:p>
        </w:tc>
        <w:tc>
          <w:tcPr>
            <w:tcW w:w="1773" w:type="dxa"/>
          </w:tcPr>
          <w:p w14:paraId="23EE8413" w14:textId="38C4BD29" w:rsidR="00BF6EEF" w:rsidRPr="00FA355E" w:rsidRDefault="00BF6EEF" w:rsidP="00BF6EEF">
            <w:pPr>
              <w:spacing w:before="0" w:after="0" w:line="0" w:lineRule="atLeast"/>
              <w:jc w:val="center"/>
            </w:pPr>
            <w:r w:rsidRPr="004E549D">
              <w:t>-4.49</w:t>
            </w:r>
          </w:p>
        </w:tc>
        <w:tc>
          <w:tcPr>
            <w:tcW w:w="1553" w:type="dxa"/>
          </w:tcPr>
          <w:p w14:paraId="104DA266" w14:textId="6E99AD33" w:rsidR="00BF6EEF" w:rsidRPr="00FA355E" w:rsidRDefault="00BF6EEF" w:rsidP="00BF6EEF">
            <w:pPr>
              <w:spacing w:before="0" w:after="0" w:line="0" w:lineRule="atLeast"/>
              <w:jc w:val="center"/>
            </w:pPr>
            <w:r w:rsidRPr="004E549D">
              <w:t>-6.48</w:t>
            </w:r>
          </w:p>
        </w:tc>
        <w:tc>
          <w:tcPr>
            <w:tcW w:w="1907" w:type="dxa"/>
          </w:tcPr>
          <w:p w14:paraId="0D5BE033" w14:textId="18967F88" w:rsidR="00BF6EEF" w:rsidRPr="00FA355E" w:rsidRDefault="00BF6EEF" w:rsidP="00BF6EEF">
            <w:pPr>
              <w:spacing w:before="0" w:after="0" w:line="0" w:lineRule="atLeast"/>
              <w:jc w:val="center"/>
            </w:pPr>
            <w:r w:rsidRPr="004E549D">
              <w:t>-8.48</w:t>
            </w:r>
          </w:p>
        </w:tc>
        <w:tc>
          <w:tcPr>
            <w:tcW w:w="1591" w:type="dxa"/>
          </w:tcPr>
          <w:p w14:paraId="18B4C066" w14:textId="60A73D93" w:rsidR="00BF6EEF" w:rsidRPr="00FA355E" w:rsidRDefault="00BF6EEF" w:rsidP="00BF6EEF">
            <w:pPr>
              <w:spacing w:before="0" w:after="0" w:line="0" w:lineRule="atLeast"/>
              <w:jc w:val="center"/>
            </w:pPr>
            <w:r w:rsidRPr="004E549D">
              <w:t>-9.71</w:t>
            </w:r>
          </w:p>
        </w:tc>
      </w:tr>
      <w:tr w:rsidR="00BF6EEF" w:rsidRPr="00FA355E" w14:paraId="34AE6A5E" w14:textId="77777777" w:rsidTr="00186072">
        <w:tc>
          <w:tcPr>
            <w:tcW w:w="1585" w:type="dxa"/>
            <w:vAlign w:val="center"/>
          </w:tcPr>
          <w:p w14:paraId="341F166A" w14:textId="6BA32309" w:rsidR="00BF6EEF" w:rsidRPr="00FA355E" w:rsidRDefault="00BF6EEF" w:rsidP="00BF6EEF">
            <w:pPr>
              <w:spacing w:before="0" w:after="0" w:line="0" w:lineRule="atLeast"/>
              <w:jc w:val="right"/>
            </w:pPr>
            <w:r>
              <w:t>19</w:t>
            </w:r>
          </w:p>
        </w:tc>
        <w:tc>
          <w:tcPr>
            <w:tcW w:w="1553" w:type="dxa"/>
          </w:tcPr>
          <w:p w14:paraId="27ABB255" w14:textId="0AF220F3" w:rsidR="00BF6EEF" w:rsidRPr="00FA355E" w:rsidRDefault="00BF6EEF" w:rsidP="00BF6EEF">
            <w:pPr>
              <w:spacing w:before="0" w:after="0" w:line="0" w:lineRule="atLeast"/>
              <w:jc w:val="center"/>
            </w:pPr>
            <w:r w:rsidRPr="004E549D">
              <w:t>-6.81</w:t>
            </w:r>
          </w:p>
        </w:tc>
        <w:tc>
          <w:tcPr>
            <w:tcW w:w="1773" w:type="dxa"/>
          </w:tcPr>
          <w:p w14:paraId="00E527D9" w14:textId="05E6B703" w:rsidR="00BF6EEF" w:rsidRPr="00FA355E" w:rsidRDefault="00BF6EEF" w:rsidP="00BF6EEF">
            <w:pPr>
              <w:spacing w:before="0" w:after="0" w:line="0" w:lineRule="atLeast"/>
              <w:jc w:val="center"/>
            </w:pPr>
            <w:r w:rsidRPr="004E549D">
              <w:t>-4.45</w:t>
            </w:r>
          </w:p>
        </w:tc>
        <w:tc>
          <w:tcPr>
            <w:tcW w:w="1553" w:type="dxa"/>
          </w:tcPr>
          <w:p w14:paraId="72364F73" w14:textId="7F07B26C" w:rsidR="00BF6EEF" w:rsidRPr="00FA355E" w:rsidRDefault="00BF6EEF" w:rsidP="00BF6EEF">
            <w:pPr>
              <w:spacing w:before="0" w:after="0" w:line="0" w:lineRule="atLeast"/>
              <w:jc w:val="center"/>
            </w:pPr>
            <w:r w:rsidRPr="004E549D">
              <w:t>-6.1</w:t>
            </w:r>
          </w:p>
        </w:tc>
        <w:tc>
          <w:tcPr>
            <w:tcW w:w="1907" w:type="dxa"/>
          </w:tcPr>
          <w:p w14:paraId="2892E1A5" w14:textId="6554CC3F" w:rsidR="00BF6EEF" w:rsidRPr="00FA355E" w:rsidRDefault="00BF6EEF" w:rsidP="00BF6EEF">
            <w:pPr>
              <w:spacing w:before="0" w:after="0" w:line="0" w:lineRule="atLeast"/>
              <w:jc w:val="center"/>
            </w:pPr>
            <w:r w:rsidRPr="004E549D">
              <w:t>-7.94</w:t>
            </w:r>
          </w:p>
        </w:tc>
        <w:tc>
          <w:tcPr>
            <w:tcW w:w="1591" w:type="dxa"/>
          </w:tcPr>
          <w:p w14:paraId="25E7477E" w14:textId="012C8633" w:rsidR="00BF6EEF" w:rsidRPr="00FA355E" w:rsidRDefault="00BF6EEF" w:rsidP="00BF6EEF">
            <w:pPr>
              <w:spacing w:before="0" w:after="0" w:line="0" w:lineRule="atLeast"/>
              <w:jc w:val="center"/>
            </w:pPr>
            <w:r w:rsidRPr="004E549D">
              <w:t>-8.25</w:t>
            </w:r>
          </w:p>
        </w:tc>
      </w:tr>
      <w:tr w:rsidR="00BF6EEF" w:rsidRPr="00FA355E" w14:paraId="7138E325" w14:textId="77777777" w:rsidTr="00186072">
        <w:tc>
          <w:tcPr>
            <w:tcW w:w="1585" w:type="dxa"/>
            <w:vAlign w:val="center"/>
          </w:tcPr>
          <w:p w14:paraId="22335777" w14:textId="6C841185" w:rsidR="00BF6EEF" w:rsidRPr="00FA355E" w:rsidRDefault="00BF6EEF" w:rsidP="00BF6EEF">
            <w:pPr>
              <w:spacing w:before="0" w:after="0" w:line="0" w:lineRule="atLeast"/>
              <w:jc w:val="right"/>
            </w:pPr>
            <w:r>
              <w:t>37</w:t>
            </w:r>
          </w:p>
        </w:tc>
        <w:tc>
          <w:tcPr>
            <w:tcW w:w="1553" w:type="dxa"/>
          </w:tcPr>
          <w:p w14:paraId="26AF365D" w14:textId="242508ED" w:rsidR="00BF6EEF" w:rsidRPr="00FA355E" w:rsidRDefault="00BF6EEF" w:rsidP="00BF6EEF">
            <w:pPr>
              <w:spacing w:before="0" w:after="0" w:line="0" w:lineRule="atLeast"/>
              <w:jc w:val="center"/>
            </w:pPr>
            <w:r w:rsidRPr="004E549D">
              <w:t>-6.01</w:t>
            </w:r>
          </w:p>
        </w:tc>
        <w:tc>
          <w:tcPr>
            <w:tcW w:w="1773" w:type="dxa"/>
          </w:tcPr>
          <w:p w14:paraId="2AC5683A" w14:textId="3BD440FE" w:rsidR="00BF6EEF" w:rsidRPr="00FA355E" w:rsidRDefault="00BF6EEF" w:rsidP="00BF6EEF">
            <w:pPr>
              <w:spacing w:before="0" w:after="0" w:line="0" w:lineRule="atLeast"/>
              <w:jc w:val="center"/>
            </w:pPr>
            <w:r w:rsidRPr="004E549D">
              <w:t>-4.26</w:t>
            </w:r>
          </w:p>
        </w:tc>
        <w:tc>
          <w:tcPr>
            <w:tcW w:w="1553" w:type="dxa"/>
          </w:tcPr>
          <w:p w14:paraId="723C35C2" w14:textId="58CE2DE5" w:rsidR="00BF6EEF" w:rsidRPr="00FA355E" w:rsidRDefault="00BF6EEF" w:rsidP="00BF6EEF">
            <w:pPr>
              <w:spacing w:before="0" w:after="0" w:line="0" w:lineRule="atLeast"/>
              <w:jc w:val="center"/>
            </w:pPr>
            <w:r w:rsidRPr="004E549D">
              <w:t>-4.96</w:t>
            </w:r>
          </w:p>
        </w:tc>
        <w:tc>
          <w:tcPr>
            <w:tcW w:w="1907" w:type="dxa"/>
          </w:tcPr>
          <w:p w14:paraId="0AE758A1" w14:textId="78C395A3" w:rsidR="00BF6EEF" w:rsidRPr="00FA355E" w:rsidRDefault="00BF6EEF" w:rsidP="00BF6EEF">
            <w:pPr>
              <w:spacing w:before="0" w:after="0" w:line="0" w:lineRule="atLeast"/>
              <w:jc w:val="center"/>
            </w:pPr>
            <w:r w:rsidRPr="004E549D">
              <w:t>-6.35</w:t>
            </w:r>
          </w:p>
        </w:tc>
        <w:tc>
          <w:tcPr>
            <w:tcW w:w="1591" w:type="dxa"/>
          </w:tcPr>
          <w:p w14:paraId="683FC36C" w14:textId="02507A31" w:rsidR="00BF6EEF" w:rsidRPr="00FA355E" w:rsidRDefault="00BF6EEF" w:rsidP="00BF6EEF">
            <w:pPr>
              <w:spacing w:before="0" w:after="0" w:line="0" w:lineRule="atLeast"/>
              <w:jc w:val="center"/>
            </w:pPr>
            <w:r w:rsidRPr="004E549D">
              <w:t>-7.56</w:t>
            </w:r>
          </w:p>
        </w:tc>
      </w:tr>
      <w:tr w:rsidR="00BF6EEF" w:rsidRPr="00FA355E" w14:paraId="19C20120" w14:textId="77777777" w:rsidTr="00186072">
        <w:tc>
          <w:tcPr>
            <w:tcW w:w="1585" w:type="dxa"/>
            <w:vAlign w:val="center"/>
          </w:tcPr>
          <w:p w14:paraId="2E6EE546" w14:textId="635BE597" w:rsidR="00BF6EEF" w:rsidRPr="00FA355E" w:rsidRDefault="00BF6EEF" w:rsidP="00BF6EEF">
            <w:pPr>
              <w:spacing w:before="0" w:after="0" w:line="0" w:lineRule="atLeast"/>
              <w:jc w:val="right"/>
            </w:pPr>
            <w:r>
              <w:t>91</w:t>
            </w:r>
          </w:p>
        </w:tc>
        <w:tc>
          <w:tcPr>
            <w:tcW w:w="1553" w:type="dxa"/>
          </w:tcPr>
          <w:p w14:paraId="6F5E7862" w14:textId="646C5389" w:rsidR="00BF6EEF" w:rsidRPr="00FA355E" w:rsidRDefault="00BF6EEF" w:rsidP="00BF6EEF">
            <w:pPr>
              <w:spacing w:before="0" w:after="0" w:line="0" w:lineRule="atLeast"/>
              <w:jc w:val="center"/>
            </w:pPr>
            <w:r w:rsidRPr="004E549D">
              <w:t>-4.7</w:t>
            </w:r>
          </w:p>
        </w:tc>
        <w:tc>
          <w:tcPr>
            <w:tcW w:w="1773" w:type="dxa"/>
          </w:tcPr>
          <w:p w14:paraId="163D2C29" w14:textId="2ACD8F48" w:rsidR="00BF6EEF" w:rsidRPr="00FA355E" w:rsidRDefault="00BF6EEF" w:rsidP="00BF6EEF">
            <w:pPr>
              <w:spacing w:before="0" w:after="0" w:line="0" w:lineRule="atLeast"/>
              <w:jc w:val="center"/>
            </w:pPr>
            <w:r w:rsidRPr="004E549D">
              <w:t>-4.26</w:t>
            </w:r>
          </w:p>
        </w:tc>
        <w:tc>
          <w:tcPr>
            <w:tcW w:w="1553" w:type="dxa"/>
          </w:tcPr>
          <w:p w14:paraId="43D3CB61" w14:textId="2AFE85D7" w:rsidR="00BF6EEF" w:rsidRPr="00FA355E" w:rsidRDefault="00BF6EEF" w:rsidP="00BF6EEF">
            <w:pPr>
              <w:spacing w:before="0" w:after="0" w:line="0" w:lineRule="atLeast"/>
              <w:jc w:val="center"/>
            </w:pPr>
            <w:r w:rsidRPr="004E549D">
              <w:t>-4.49</w:t>
            </w:r>
          </w:p>
        </w:tc>
        <w:tc>
          <w:tcPr>
            <w:tcW w:w="1907" w:type="dxa"/>
          </w:tcPr>
          <w:p w14:paraId="2F2E21B4" w14:textId="016143EE" w:rsidR="00BF6EEF" w:rsidRPr="00FA355E" w:rsidRDefault="00BF6EEF" w:rsidP="00BF6EEF">
            <w:pPr>
              <w:spacing w:before="0" w:after="0" w:line="0" w:lineRule="atLeast"/>
              <w:jc w:val="center"/>
            </w:pPr>
            <w:r w:rsidRPr="004E549D">
              <w:t>-5.97</w:t>
            </w:r>
          </w:p>
        </w:tc>
        <w:tc>
          <w:tcPr>
            <w:tcW w:w="1591" w:type="dxa"/>
          </w:tcPr>
          <w:p w14:paraId="17CFCB96" w14:textId="0B77A521" w:rsidR="00BF6EEF" w:rsidRPr="00FA355E" w:rsidRDefault="00BF6EEF" w:rsidP="00BF6EEF">
            <w:pPr>
              <w:spacing w:before="0" w:after="0" w:line="0" w:lineRule="atLeast"/>
              <w:jc w:val="center"/>
            </w:pPr>
            <w:r w:rsidRPr="004E549D">
              <w:t>-5.09</w:t>
            </w:r>
          </w:p>
        </w:tc>
      </w:tr>
      <w:tr w:rsidR="00BF6EEF" w:rsidRPr="00FA355E" w14:paraId="6271E7D9" w14:textId="77777777" w:rsidTr="00186072">
        <w:tc>
          <w:tcPr>
            <w:tcW w:w="1585" w:type="dxa"/>
            <w:vAlign w:val="center"/>
          </w:tcPr>
          <w:p w14:paraId="42B1F4FA" w14:textId="5783CBD6" w:rsidR="00BF6EEF" w:rsidRPr="00FA355E" w:rsidRDefault="00BF6EEF" w:rsidP="00BF6EEF">
            <w:pPr>
              <w:spacing w:before="0" w:after="0" w:line="0" w:lineRule="atLeast"/>
              <w:jc w:val="right"/>
            </w:pPr>
            <w:r>
              <w:t>271</w:t>
            </w:r>
          </w:p>
        </w:tc>
        <w:tc>
          <w:tcPr>
            <w:tcW w:w="1553" w:type="dxa"/>
          </w:tcPr>
          <w:p w14:paraId="400FF82E" w14:textId="026D91E3" w:rsidR="00BF6EEF" w:rsidRPr="00FA355E" w:rsidRDefault="00BF6EEF" w:rsidP="00BF6EEF">
            <w:pPr>
              <w:spacing w:before="0" w:after="0" w:line="0" w:lineRule="atLeast"/>
              <w:jc w:val="center"/>
            </w:pPr>
            <w:r w:rsidRPr="004E549D">
              <w:t>-4.31</w:t>
            </w:r>
          </w:p>
        </w:tc>
        <w:tc>
          <w:tcPr>
            <w:tcW w:w="1773" w:type="dxa"/>
          </w:tcPr>
          <w:p w14:paraId="3FB0E2FD" w14:textId="408265A7" w:rsidR="00BF6EEF" w:rsidRPr="00FA355E" w:rsidRDefault="00BF6EEF" w:rsidP="00BF6EEF">
            <w:pPr>
              <w:spacing w:before="0" w:after="0" w:line="0" w:lineRule="atLeast"/>
              <w:jc w:val="center"/>
            </w:pPr>
            <w:r w:rsidRPr="004E549D">
              <w:t>-4.26</w:t>
            </w:r>
          </w:p>
        </w:tc>
        <w:tc>
          <w:tcPr>
            <w:tcW w:w="1553" w:type="dxa"/>
          </w:tcPr>
          <w:p w14:paraId="0000DB6E" w14:textId="658291FF" w:rsidR="00BF6EEF" w:rsidRPr="00FA355E" w:rsidRDefault="00BF6EEF" w:rsidP="00BF6EEF">
            <w:pPr>
              <w:spacing w:before="0" w:after="0" w:line="0" w:lineRule="atLeast"/>
              <w:jc w:val="center"/>
            </w:pPr>
            <w:r w:rsidRPr="004E549D">
              <w:t>-4.47</w:t>
            </w:r>
          </w:p>
        </w:tc>
        <w:tc>
          <w:tcPr>
            <w:tcW w:w="1907" w:type="dxa"/>
          </w:tcPr>
          <w:p w14:paraId="3BEEC46E" w14:textId="5D27C006" w:rsidR="00BF6EEF" w:rsidRPr="00FA355E" w:rsidRDefault="00BF6EEF" w:rsidP="00BF6EEF">
            <w:pPr>
              <w:spacing w:before="0" w:after="0" w:line="0" w:lineRule="atLeast"/>
              <w:jc w:val="center"/>
            </w:pPr>
            <w:r w:rsidRPr="004E549D">
              <w:t>-4.52</w:t>
            </w:r>
          </w:p>
        </w:tc>
        <w:tc>
          <w:tcPr>
            <w:tcW w:w="1591" w:type="dxa"/>
          </w:tcPr>
          <w:p w14:paraId="51F29604" w14:textId="58FE7E98" w:rsidR="00BF6EEF" w:rsidRPr="00FA355E" w:rsidRDefault="00BF6EEF" w:rsidP="00BF6EEF">
            <w:pPr>
              <w:spacing w:before="0" w:after="0" w:line="0" w:lineRule="atLeast"/>
              <w:jc w:val="center"/>
            </w:pPr>
            <w:r w:rsidRPr="004E549D">
              <w:t>-4.23</w:t>
            </w:r>
          </w:p>
        </w:tc>
      </w:tr>
    </w:tbl>
    <w:p w14:paraId="0A632804" w14:textId="364B73F2" w:rsidR="005F61FB" w:rsidRDefault="005F61FB" w:rsidP="005F61FB">
      <w:pPr>
        <w:pStyle w:val="TdocTableCaption"/>
      </w:pPr>
      <w:bookmarkStart w:id="15" w:name="_Ref5364109"/>
      <w:r>
        <w:t xml:space="preserve">Table </w:t>
      </w:r>
      <w:r>
        <w:rPr>
          <w:noProof/>
        </w:rPr>
        <w:fldChar w:fldCharType="begin"/>
      </w:r>
      <w:r>
        <w:rPr>
          <w:noProof/>
        </w:rPr>
        <w:instrText xml:space="preserve"> SEQ Table \* ARABIC </w:instrText>
      </w:r>
      <w:r>
        <w:rPr>
          <w:noProof/>
        </w:rPr>
        <w:fldChar w:fldCharType="separate"/>
      </w:r>
      <w:r w:rsidR="00B92875">
        <w:rPr>
          <w:noProof/>
        </w:rPr>
        <w:t>2</w:t>
      </w:r>
      <w:r>
        <w:rPr>
          <w:noProof/>
        </w:rPr>
        <w:fldChar w:fldCharType="end"/>
      </w:r>
      <w:bookmarkEnd w:id="15"/>
      <w:r>
        <w:t xml:space="preserve">. Max </w:t>
      </w:r>
      <w:r w:rsidRPr="003517E9">
        <w:rPr>
          <w:position w:val="-12"/>
        </w:rPr>
        <w:object w:dxaOrig="740" w:dyaOrig="360" w14:anchorId="65EA722E">
          <v:shape id="_x0000_i1047" type="#_x0000_t75" style="width:36.85pt;height:18.45pt" o:ole="">
            <v:imagedata r:id="rId37" o:title=""/>
          </v:shape>
          <o:OLEObject Type="Embed" ProgID="Equation.DSMT4" ShapeID="_x0000_i1047" DrawAspect="Content" ObjectID="_1618437054" r:id="rId60"/>
        </w:object>
      </w:r>
      <w:r>
        <w:t xml:space="preserve">, dB. </w:t>
      </w:r>
      <w:r w:rsidR="000A6ECB" w:rsidRPr="008F379D">
        <w:rPr>
          <w:position w:val="-14"/>
        </w:rPr>
        <w:object w:dxaOrig="859" w:dyaOrig="400" w14:anchorId="6E2B337D">
          <v:shape id="_x0000_i1048" type="#_x0000_t75" style="width:42.6pt;height:20.15pt" o:ole="">
            <v:imagedata r:id="rId61" o:title=""/>
          </v:shape>
          <o:OLEObject Type="Embed" ProgID="Equation.DSMT4" ShapeID="_x0000_i1048" DrawAspect="Content" ObjectID="_1618437055" r:id="rId62"/>
        </w:object>
      </w:r>
      <w:r>
        <w:t xml:space="preserve"> and </w:t>
      </w:r>
      <w:r w:rsidR="00D727DB">
        <w:t>20</w:t>
      </w:r>
      <w:r w:rsidR="00D727DB" w:rsidRPr="008F0300">
        <w:t xml:space="preserve">0Hz </w:t>
      </w:r>
      <w:r w:rsidRPr="008F0300">
        <w:t>frequency offset</w:t>
      </w:r>
      <w:r>
        <w:t>.</w:t>
      </w:r>
    </w:p>
    <w:tbl>
      <w:tblPr>
        <w:tblStyle w:val="TableGrid"/>
        <w:tblW w:w="0" w:type="auto"/>
        <w:tblLook w:val="04A0" w:firstRow="1" w:lastRow="0" w:firstColumn="1" w:lastColumn="0" w:noHBand="0" w:noVBand="1"/>
      </w:tblPr>
      <w:tblGrid>
        <w:gridCol w:w="1585"/>
        <w:gridCol w:w="1553"/>
        <w:gridCol w:w="1773"/>
        <w:gridCol w:w="1553"/>
        <w:gridCol w:w="1907"/>
        <w:gridCol w:w="1591"/>
      </w:tblGrid>
      <w:tr w:rsidR="005F61FB" w:rsidRPr="00813774" w14:paraId="32664B96" w14:textId="77777777" w:rsidTr="00904683">
        <w:tc>
          <w:tcPr>
            <w:tcW w:w="1585" w:type="dxa"/>
            <w:shd w:val="clear" w:color="auto" w:fill="D0CECE" w:themeFill="background2" w:themeFillShade="E6"/>
            <w:vAlign w:val="bottom"/>
          </w:tcPr>
          <w:p w14:paraId="1902E09F" w14:textId="77777777" w:rsidR="005F61FB" w:rsidRPr="00813774" w:rsidRDefault="005F61FB" w:rsidP="00712DB4">
            <w:pPr>
              <w:spacing w:before="0" w:after="0" w:line="0" w:lineRule="atLeast"/>
              <w:jc w:val="center"/>
            </w:pPr>
            <w:r w:rsidRPr="00813774">
              <w:rPr>
                <w:rFonts w:ascii="Symbol" w:hAnsi="Symbol"/>
              </w:rPr>
              <w:t></w:t>
            </w:r>
            <w:r w:rsidRPr="00813774">
              <w:rPr>
                <w:rFonts w:ascii="Arial" w:hAnsi="Arial" w:cs="Arial"/>
              </w:rPr>
              <w:t>t, samples</w:t>
            </w:r>
          </w:p>
        </w:tc>
        <w:tc>
          <w:tcPr>
            <w:tcW w:w="1553" w:type="dxa"/>
            <w:shd w:val="clear" w:color="auto" w:fill="D0CECE" w:themeFill="background2" w:themeFillShade="E6"/>
            <w:vAlign w:val="bottom"/>
          </w:tcPr>
          <w:p w14:paraId="1E6FEBF6" w14:textId="45CF1A43" w:rsidR="005F61FB" w:rsidRPr="00813774" w:rsidRDefault="005F61FB" w:rsidP="00712DB4">
            <w:pPr>
              <w:spacing w:before="0" w:after="0" w:line="0" w:lineRule="atLeast"/>
              <w:jc w:val="center"/>
              <w:rPr>
                <w:rFonts w:ascii="Arial" w:hAnsi="Arial" w:cs="Arial"/>
              </w:rPr>
            </w:pPr>
            <w:r w:rsidRPr="00813774">
              <w:rPr>
                <w:rFonts w:ascii="Arial" w:hAnsi="Arial" w:cs="Arial"/>
              </w:rPr>
              <w:t>TF OCC</w:t>
            </w:r>
            <w:r w:rsidR="00C72646">
              <w:rPr>
                <w:rFonts w:ascii="Arial" w:hAnsi="Arial" w:cs="Arial"/>
              </w:rPr>
              <w:t xml:space="preserve"> Long</w:t>
            </w:r>
          </w:p>
        </w:tc>
        <w:tc>
          <w:tcPr>
            <w:tcW w:w="1773" w:type="dxa"/>
            <w:shd w:val="clear" w:color="auto" w:fill="D0CECE" w:themeFill="background2" w:themeFillShade="E6"/>
            <w:vAlign w:val="bottom"/>
          </w:tcPr>
          <w:p w14:paraId="46BBF8AF" w14:textId="762FC5DA" w:rsidR="005F61FB" w:rsidRPr="00813774" w:rsidRDefault="00E37C6B" w:rsidP="00712DB4">
            <w:pPr>
              <w:spacing w:before="0" w:after="0" w:line="0" w:lineRule="atLeast"/>
              <w:jc w:val="center"/>
              <w:rPr>
                <w:rFonts w:ascii="Arial" w:hAnsi="Arial" w:cs="Arial"/>
              </w:rPr>
            </w:pPr>
            <w:r>
              <w:rPr>
                <w:rFonts w:ascii="Arial" w:hAnsi="Arial" w:cs="Arial"/>
              </w:rPr>
              <w:t>Scrambling Shift</w:t>
            </w:r>
          </w:p>
        </w:tc>
        <w:tc>
          <w:tcPr>
            <w:tcW w:w="1553" w:type="dxa"/>
            <w:shd w:val="clear" w:color="auto" w:fill="D0CECE" w:themeFill="background2" w:themeFillShade="E6"/>
            <w:vAlign w:val="bottom"/>
          </w:tcPr>
          <w:p w14:paraId="344033E2" w14:textId="77777777" w:rsidR="005F61FB" w:rsidRPr="00813774" w:rsidRDefault="005F61FB" w:rsidP="00712DB4">
            <w:pPr>
              <w:spacing w:before="0" w:after="0" w:line="0" w:lineRule="atLeast"/>
              <w:jc w:val="center"/>
              <w:rPr>
                <w:rFonts w:ascii="Arial" w:hAnsi="Arial" w:cs="Arial"/>
              </w:rPr>
            </w:pPr>
            <w:r>
              <w:rPr>
                <w:rFonts w:ascii="Arial" w:hAnsi="Arial" w:cs="Arial"/>
              </w:rPr>
              <w:t>GCC</w:t>
            </w:r>
          </w:p>
        </w:tc>
        <w:tc>
          <w:tcPr>
            <w:tcW w:w="1907" w:type="dxa"/>
            <w:shd w:val="clear" w:color="auto" w:fill="D0CECE" w:themeFill="background2" w:themeFillShade="E6"/>
            <w:vAlign w:val="bottom"/>
          </w:tcPr>
          <w:p w14:paraId="1E132491" w14:textId="4C7B0D37" w:rsidR="005F61FB" w:rsidRPr="00813774" w:rsidRDefault="00E37C6B" w:rsidP="00712DB4">
            <w:pPr>
              <w:spacing w:before="0" w:after="0" w:line="0" w:lineRule="atLeast"/>
              <w:jc w:val="center"/>
              <w:rPr>
                <w:rFonts w:ascii="Arial" w:hAnsi="Arial" w:cs="Arial"/>
              </w:rPr>
            </w:pPr>
            <w:r>
              <w:rPr>
                <w:rFonts w:ascii="Arial" w:hAnsi="Arial" w:cs="Arial"/>
              </w:rPr>
              <w:t>Phase Shift</w:t>
            </w:r>
          </w:p>
        </w:tc>
        <w:tc>
          <w:tcPr>
            <w:tcW w:w="1591" w:type="dxa"/>
            <w:shd w:val="clear" w:color="auto" w:fill="D0CECE" w:themeFill="background2" w:themeFillShade="E6"/>
            <w:vAlign w:val="bottom"/>
          </w:tcPr>
          <w:p w14:paraId="5F6EA2BE" w14:textId="27B6C20F" w:rsidR="005F61FB" w:rsidRPr="00813774" w:rsidRDefault="00E37C6B" w:rsidP="00712DB4">
            <w:pPr>
              <w:spacing w:before="0" w:after="0" w:line="0" w:lineRule="atLeast"/>
              <w:jc w:val="center"/>
              <w:rPr>
                <w:rFonts w:ascii="Arial" w:hAnsi="Arial" w:cs="Arial"/>
              </w:rPr>
            </w:pPr>
            <w:r>
              <w:rPr>
                <w:rFonts w:ascii="Arial" w:hAnsi="Arial" w:cs="Arial"/>
              </w:rPr>
              <w:t>TF OCC Short</w:t>
            </w:r>
          </w:p>
        </w:tc>
      </w:tr>
      <w:tr w:rsidR="0051565E" w:rsidRPr="00813774" w14:paraId="0EC50103" w14:textId="77777777" w:rsidTr="00904683">
        <w:tc>
          <w:tcPr>
            <w:tcW w:w="1585" w:type="dxa"/>
            <w:vAlign w:val="center"/>
          </w:tcPr>
          <w:p w14:paraId="196E76F0" w14:textId="77777777" w:rsidR="0051565E" w:rsidRPr="00813774" w:rsidRDefault="0051565E" w:rsidP="0051565E">
            <w:pPr>
              <w:spacing w:before="0" w:after="0" w:line="0" w:lineRule="atLeast"/>
              <w:jc w:val="right"/>
            </w:pPr>
            <w:r>
              <w:t>11</w:t>
            </w:r>
          </w:p>
        </w:tc>
        <w:tc>
          <w:tcPr>
            <w:tcW w:w="1553" w:type="dxa"/>
          </w:tcPr>
          <w:p w14:paraId="3DD58691" w14:textId="07ABE5E1" w:rsidR="0051565E" w:rsidRPr="00813774" w:rsidRDefault="0051565E" w:rsidP="0051565E">
            <w:pPr>
              <w:spacing w:before="0" w:after="0" w:line="0" w:lineRule="atLeast"/>
              <w:jc w:val="center"/>
            </w:pPr>
            <w:r w:rsidRPr="00135725">
              <w:t>-6.04</w:t>
            </w:r>
          </w:p>
        </w:tc>
        <w:tc>
          <w:tcPr>
            <w:tcW w:w="1773" w:type="dxa"/>
          </w:tcPr>
          <w:p w14:paraId="4398370D" w14:textId="689EAFD8" w:rsidR="0051565E" w:rsidRPr="00813774" w:rsidRDefault="0051565E" w:rsidP="0051565E">
            <w:pPr>
              <w:spacing w:before="0" w:after="0" w:line="0" w:lineRule="atLeast"/>
              <w:jc w:val="center"/>
            </w:pPr>
            <w:r w:rsidRPr="00135725">
              <w:t>-4.03</w:t>
            </w:r>
          </w:p>
        </w:tc>
        <w:tc>
          <w:tcPr>
            <w:tcW w:w="1553" w:type="dxa"/>
          </w:tcPr>
          <w:p w14:paraId="4184C769" w14:textId="2ACCD9C5" w:rsidR="0051565E" w:rsidRPr="00813774" w:rsidRDefault="0051565E" w:rsidP="0051565E">
            <w:pPr>
              <w:spacing w:before="0" w:after="0" w:line="0" w:lineRule="atLeast"/>
              <w:jc w:val="center"/>
            </w:pPr>
            <w:r w:rsidRPr="00135725">
              <w:t>-6.48</w:t>
            </w:r>
          </w:p>
        </w:tc>
        <w:tc>
          <w:tcPr>
            <w:tcW w:w="1907" w:type="dxa"/>
          </w:tcPr>
          <w:p w14:paraId="1DE2F13F" w14:textId="0FCB2E6A" w:rsidR="0051565E" w:rsidRPr="00813774" w:rsidRDefault="0051565E" w:rsidP="0051565E">
            <w:pPr>
              <w:spacing w:before="0" w:after="0" w:line="0" w:lineRule="atLeast"/>
              <w:jc w:val="center"/>
            </w:pPr>
            <w:r w:rsidRPr="00135725">
              <w:t>-8.48</w:t>
            </w:r>
          </w:p>
        </w:tc>
        <w:tc>
          <w:tcPr>
            <w:tcW w:w="1591" w:type="dxa"/>
          </w:tcPr>
          <w:p w14:paraId="264DB928" w14:textId="00C055CE" w:rsidR="0051565E" w:rsidRPr="00813774" w:rsidRDefault="0051565E" w:rsidP="0051565E">
            <w:pPr>
              <w:spacing w:before="0" w:after="0" w:line="0" w:lineRule="atLeast"/>
              <w:jc w:val="center"/>
            </w:pPr>
            <w:r w:rsidRPr="00135725">
              <w:t>-8.47</w:t>
            </w:r>
          </w:p>
        </w:tc>
      </w:tr>
      <w:tr w:rsidR="0051565E" w:rsidRPr="00813774" w14:paraId="412FD68A" w14:textId="77777777" w:rsidTr="00904683">
        <w:tc>
          <w:tcPr>
            <w:tcW w:w="1585" w:type="dxa"/>
            <w:vAlign w:val="center"/>
          </w:tcPr>
          <w:p w14:paraId="36C47C86" w14:textId="77777777" w:rsidR="0051565E" w:rsidRPr="00813774" w:rsidRDefault="0051565E" w:rsidP="0051565E">
            <w:pPr>
              <w:spacing w:before="0" w:after="0" w:line="0" w:lineRule="atLeast"/>
              <w:jc w:val="right"/>
            </w:pPr>
            <w:r>
              <w:t>19</w:t>
            </w:r>
          </w:p>
        </w:tc>
        <w:tc>
          <w:tcPr>
            <w:tcW w:w="1553" w:type="dxa"/>
          </w:tcPr>
          <w:p w14:paraId="2AE9EF82" w14:textId="6DA86346" w:rsidR="0051565E" w:rsidRPr="00813774" w:rsidRDefault="0051565E" w:rsidP="0051565E">
            <w:pPr>
              <w:spacing w:before="0" w:after="0" w:line="0" w:lineRule="atLeast"/>
              <w:jc w:val="center"/>
            </w:pPr>
            <w:r w:rsidRPr="00135725">
              <w:t>-5.43</w:t>
            </w:r>
          </w:p>
        </w:tc>
        <w:tc>
          <w:tcPr>
            <w:tcW w:w="1773" w:type="dxa"/>
          </w:tcPr>
          <w:p w14:paraId="6B9604FF" w14:textId="6FF57169" w:rsidR="0051565E" w:rsidRPr="00813774" w:rsidRDefault="0051565E" w:rsidP="0051565E">
            <w:pPr>
              <w:spacing w:before="0" w:after="0" w:line="0" w:lineRule="atLeast"/>
              <w:jc w:val="center"/>
            </w:pPr>
            <w:r w:rsidRPr="00135725">
              <w:t>-3.98</w:t>
            </w:r>
          </w:p>
        </w:tc>
        <w:tc>
          <w:tcPr>
            <w:tcW w:w="1553" w:type="dxa"/>
          </w:tcPr>
          <w:p w14:paraId="754AA25F" w14:textId="360CADA0" w:rsidR="0051565E" w:rsidRPr="00813774" w:rsidRDefault="0051565E" w:rsidP="0051565E">
            <w:pPr>
              <w:spacing w:before="0" w:after="0" w:line="0" w:lineRule="atLeast"/>
              <w:jc w:val="center"/>
            </w:pPr>
            <w:r w:rsidRPr="00135725">
              <w:t>-6.3</w:t>
            </w:r>
          </w:p>
        </w:tc>
        <w:tc>
          <w:tcPr>
            <w:tcW w:w="1907" w:type="dxa"/>
          </w:tcPr>
          <w:p w14:paraId="4B43FA8A" w14:textId="1F6D9CEF" w:rsidR="0051565E" w:rsidRPr="00813774" w:rsidRDefault="0051565E" w:rsidP="0051565E">
            <w:pPr>
              <w:spacing w:before="0" w:after="0" w:line="0" w:lineRule="atLeast"/>
              <w:jc w:val="center"/>
            </w:pPr>
            <w:r w:rsidRPr="00135725">
              <w:t>-7.69</w:t>
            </w:r>
          </w:p>
        </w:tc>
        <w:tc>
          <w:tcPr>
            <w:tcW w:w="1591" w:type="dxa"/>
          </w:tcPr>
          <w:p w14:paraId="09EF6CDB" w14:textId="4B2A2D14" w:rsidR="0051565E" w:rsidRPr="00813774" w:rsidRDefault="0051565E" w:rsidP="0051565E">
            <w:pPr>
              <w:spacing w:before="0" w:after="0" w:line="0" w:lineRule="atLeast"/>
              <w:jc w:val="center"/>
            </w:pPr>
            <w:r w:rsidRPr="00135725">
              <w:t>-7.04</w:t>
            </w:r>
          </w:p>
        </w:tc>
      </w:tr>
      <w:tr w:rsidR="0051565E" w:rsidRPr="00813774" w14:paraId="0B828706" w14:textId="77777777" w:rsidTr="00904683">
        <w:tc>
          <w:tcPr>
            <w:tcW w:w="1585" w:type="dxa"/>
            <w:vAlign w:val="center"/>
          </w:tcPr>
          <w:p w14:paraId="634642D3" w14:textId="77777777" w:rsidR="0051565E" w:rsidRPr="00813774" w:rsidRDefault="0051565E" w:rsidP="0051565E">
            <w:pPr>
              <w:spacing w:before="0" w:after="0" w:line="0" w:lineRule="atLeast"/>
              <w:jc w:val="right"/>
            </w:pPr>
            <w:r>
              <w:t>37</w:t>
            </w:r>
          </w:p>
        </w:tc>
        <w:tc>
          <w:tcPr>
            <w:tcW w:w="1553" w:type="dxa"/>
          </w:tcPr>
          <w:p w14:paraId="197E7890" w14:textId="2C103135" w:rsidR="0051565E" w:rsidRPr="00813774" w:rsidRDefault="0051565E" w:rsidP="0051565E">
            <w:pPr>
              <w:spacing w:before="0" w:after="0" w:line="0" w:lineRule="atLeast"/>
              <w:jc w:val="center"/>
            </w:pPr>
            <w:r w:rsidRPr="00135725">
              <w:t>-5.43</w:t>
            </w:r>
          </w:p>
        </w:tc>
        <w:tc>
          <w:tcPr>
            <w:tcW w:w="1773" w:type="dxa"/>
          </w:tcPr>
          <w:p w14:paraId="23E3F2F9" w14:textId="043C8909" w:rsidR="0051565E" w:rsidRPr="00813774" w:rsidRDefault="0051565E" w:rsidP="0051565E">
            <w:pPr>
              <w:spacing w:before="0" w:after="0" w:line="0" w:lineRule="atLeast"/>
              <w:jc w:val="center"/>
            </w:pPr>
            <w:r w:rsidRPr="00135725">
              <w:t>-3.93</w:t>
            </w:r>
          </w:p>
        </w:tc>
        <w:tc>
          <w:tcPr>
            <w:tcW w:w="1553" w:type="dxa"/>
          </w:tcPr>
          <w:p w14:paraId="7AECF8F2" w14:textId="2161DC63" w:rsidR="0051565E" w:rsidRPr="00813774" w:rsidRDefault="0051565E" w:rsidP="0051565E">
            <w:pPr>
              <w:spacing w:before="0" w:after="0" w:line="0" w:lineRule="atLeast"/>
              <w:jc w:val="center"/>
            </w:pPr>
            <w:r w:rsidRPr="00135725">
              <w:t>-5.46</w:t>
            </w:r>
          </w:p>
        </w:tc>
        <w:tc>
          <w:tcPr>
            <w:tcW w:w="1907" w:type="dxa"/>
          </w:tcPr>
          <w:p w14:paraId="7017487C" w14:textId="42508BB2" w:rsidR="0051565E" w:rsidRPr="00813774" w:rsidRDefault="0051565E" w:rsidP="0051565E">
            <w:pPr>
              <w:spacing w:before="0" w:after="0" w:line="0" w:lineRule="atLeast"/>
              <w:jc w:val="center"/>
            </w:pPr>
            <w:r w:rsidRPr="00135725">
              <w:t>-5.99</w:t>
            </w:r>
          </w:p>
        </w:tc>
        <w:tc>
          <w:tcPr>
            <w:tcW w:w="1591" w:type="dxa"/>
          </w:tcPr>
          <w:p w14:paraId="48449E87" w14:textId="270BFB51" w:rsidR="0051565E" w:rsidRPr="00813774" w:rsidRDefault="0051565E" w:rsidP="0051565E">
            <w:pPr>
              <w:spacing w:before="0" w:after="0" w:line="0" w:lineRule="atLeast"/>
              <w:jc w:val="center"/>
            </w:pPr>
            <w:r w:rsidRPr="00135725">
              <w:t>-6.3</w:t>
            </w:r>
          </w:p>
        </w:tc>
      </w:tr>
      <w:tr w:rsidR="0051565E" w:rsidRPr="00813774" w14:paraId="20C1D761" w14:textId="77777777" w:rsidTr="00904683">
        <w:tc>
          <w:tcPr>
            <w:tcW w:w="1585" w:type="dxa"/>
            <w:vAlign w:val="center"/>
          </w:tcPr>
          <w:p w14:paraId="2982ACD3" w14:textId="1E51C830" w:rsidR="0051565E" w:rsidRPr="00813774" w:rsidRDefault="0051565E" w:rsidP="0051565E">
            <w:pPr>
              <w:spacing w:before="0" w:after="0" w:line="0" w:lineRule="atLeast"/>
              <w:jc w:val="right"/>
            </w:pPr>
            <w:r>
              <w:t>91</w:t>
            </w:r>
          </w:p>
        </w:tc>
        <w:tc>
          <w:tcPr>
            <w:tcW w:w="1553" w:type="dxa"/>
          </w:tcPr>
          <w:p w14:paraId="152CE49C" w14:textId="11B50920" w:rsidR="0051565E" w:rsidRPr="00813774" w:rsidRDefault="0051565E" w:rsidP="0051565E">
            <w:pPr>
              <w:spacing w:before="0" w:after="0" w:line="0" w:lineRule="atLeast"/>
              <w:jc w:val="center"/>
            </w:pPr>
            <w:r w:rsidRPr="00135725">
              <w:t>-4.28</w:t>
            </w:r>
          </w:p>
        </w:tc>
        <w:tc>
          <w:tcPr>
            <w:tcW w:w="1773" w:type="dxa"/>
          </w:tcPr>
          <w:p w14:paraId="764AF2DC" w14:textId="692BDB07" w:rsidR="0051565E" w:rsidRPr="00813774" w:rsidRDefault="0051565E" w:rsidP="0051565E">
            <w:pPr>
              <w:spacing w:before="0" w:after="0" w:line="0" w:lineRule="atLeast"/>
              <w:jc w:val="center"/>
            </w:pPr>
            <w:r w:rsidRPr="00135725">
              <w:t>-3.91</w:t>
            </w:r>
          </w:p>
        </w:tc>
        <w:tc>
          <w:tcPr>
            <w:tcW w:w="1553" w:type="dxa"/>
          </w:tcPr>
          <w:p w14:paraId="3453D8FC" w14:textId="527E838B" w:rsidR="0051565E" w:rsidRPr="00813774" w:rsidRDefault="0051565E" w:rsidP="0051565E">
            <w:pPr>
              <w:spacing w:before="0" w:after="0" w:line="0" w:lineRule="atLeast"/>
              <w:jc w:val="center"/>
            </w:pPr>
            <w:r w:rsidRPr="00135725">
              <w:t>-4.59</w:t>
            </w:r>
          </w:p>
        </w:tc>
        <w:tc>
          <w:tcPr>
            <w:tcW w:w="1907" w:type="dxa"/>
          </w:tcPr>
          <w:p w14:paraId="0FB80727" w14:textId="5A8949D4" w:rsidR="0051565E" w:rsidRPr="00813774" w:rsidRDefault="0051565E" w:rsidP="0051565E">
            <w:pPr>
              <w:spacing w:before="0" w:after="0" w:line="0" w:lineRule="atLeast"/>
              <w:jc w:val="center"/>
            </w:pPr>
            <w:r w:rsidRPr="00135725">
              <w:t>-5.36</w:t>
            </w:r>
          </w:p>
        </w:tc>
        <w:tc>
          <w:tcPr>
            <w:tcW w:w="1591" w:type="dxa"/>
          </w:tcPr>
          <w:p w14:paraId="21F72136" w14:textId="5FE23E27" w:rsidR="0051565E" w:rsidRPr="00813774" w:rsidRDefault="0051565E" w:rsidP="0051565E">
            <w:pPr>
              <w:spacing w:before="0" w:after="0" w:line="0" w:lineRule="atLeast"/>
              <w:jc w:val="center"/>
            </w:pPr>
            <w:r w:rsidRPr="00135725">
              <w:t>-5.04</w:t>
            </w:r>
          </w:p>
        </w:tc>
      </w:tr>
      <w:tr w:rsidR="0051565E" w:rsidRPr="00813774" w14:paraId="0B188B6F" w14:textId="77777777" w:rsidTr="00904683">
        <w:tc>
          <w:tcPr>
            <w:tcW w:w="1585" w:type="dxa"/>
            <w:vAlign w:val="center"/>
          </w:tcPr>
          <w:p w14:paraId="47707802" w14:textId="56071322" w:rsidR="0051565E" w:rsidRPr="00813774" w:rsidRDefault="0051565E" w:rsidP="0051565E">
            <w:pPr>
              <w:spacing w:before="0" w:after="0" w:line="0" w:lineRule="atLeast"/>
              <w:jc w:val="right"/>
            </w:pPr>
            <w:r>
              <w:t>271</w:t>
            </w:r>
          </w:p>
        </w:tc>
        <w:tc>
          <w:tcPr>
            <w:tcW w:w="1553" w:type="dxa"/>
          </w:tcPr>
          <w:p w14:paraId="40B8C16A" w14:textId="05774CD7" w:rsidR="0051565E" w:rsidRPr="00813774" w:rsidRDefault="0051565E" w:rsidP="0051565E">
            <w:pPr>
              <w:spacing w:before="0" w:after="0" w:line="0" w:lineRule="atLeast"/>
              <w:jc w:val="center"/>
            </w:pPr>
            <w:r w:rsidRPr="00135725">
              <w:t>-4.02</w:t>
            </w:r>
          </w:p>
        </w:tc>
        <w:tc>
          <w:tcPr>
            <w:tcW w:w="1773" w:type="dxa"/>
          </w:tcPr>
          <w:p w14:paraId="0AE0CD70" w14:textId="4CCB9272" w:rsidR="0051565E" w:rsidRPr="00813774" w:rsidRDefault="0051565E" w:rsidP="0051565E">
            <w:pPr>
              <w:spacing w:before="0" w:after="0" w:line="0" w:lineRule="atLeast"/>
              <w:jc w:val="center"/>
            </w:pPr>
            <w:r w:rsidRPr="00135725">
              <w:t>-3.91</w:t>
            </w:r>
          </w:p>
        </w:tc>
        <w:tc>
          <w:tcPr>
            <w:tcW w:w="1553" w:type="dxa"/>
          </w:tcPr>
          <w:p w14:paraId="6D35F190" w14:textId="38BDFE0D" w:rsidR="0051565E" w:rsidRPr="00813774" w:rsidRDefault="0051565E" w:rsidP="0051565E">
            <w:pPr>
              <w:spacing w:before="0" w:after="0" w:line="0" w:lineRule="atLeast"/>
              <w:jc w:val="center"/>
            </w:pPr>
            <w:r w:rsidRPr="00135725">
              <w:t>-4.19</w:t>
            </w:r>
          </w:p>
        </w:tc>
        <w:tc>
          <w:tcPr>
            <w:tcW w:w="1907" w:type="dxa"/>
          </w:tcPr>
          <w:p w14:paraId="49812423" w14:textId="6BC7FC02" w:rsidR="0051565E" w:rsidRPr="00813774" w:rsidRDefault="0051565E" w:rsidP="0051565E">
            <w:pPr>
              <w:spacing w:before="0" w:after="0" w:line="0" w:lineRule="atLeast"/>
              <w:jc w:val="center"/>
            </w:pPr>
            <w:r w:rsidRPr="00135725">
              <w:t>-4.06</w:t>
            </w:r>
          </w:p>
        </w:tc>
        <w:tc>
          <w:tcPr>
            <w:tcW w:w="1591" w:type="dxa"/>
          </w:tcPr>
          <w:p w14:paraId="7A54323F" w14:textId="721BB6E9" w:rsidR="0051565E" w:rsidRPr="00813774" w:rsidRDefault="0051565E" w:rsidP="0051565E">
            <w:pPr>
              <w:spacing w:before="0" w:after="0" w:line="0" w:lineRule="atLeast"/>
              <w:jc w:val="center"/>
            </w:pPr>
            <w:r w:rsidRPr="00135725">
              <w:t>-4.13</w:t>
            </w:r>
          </w:p>
        </w:tc>
      </w:tr>
    </w:tbl>
    <w:p w14:paraId="705A44FA" w14:textId="77777777" w:rsidR="00FF249E" w:rsidRDefault="00FF249E" w:rsidP="008E33CD">
      <w:pPr>
        <w:pStyle w:val="TdocText"/>
      </w:pPr>
    </w:p>
    <w:p w14:paraId="69465C10" w14:textId="3E1ECCC4" w:rsidR="008E33CD" w:rsidRDefault="008E33CD" w:rsidP="008E33CD">
      <w:pPr>
        <w:pStyle w:val="TdocText"/>
      </w:pPr>
      <w:r>
        <w:t>Based on th</w:t>
      </w:r>
      <w:r w:rsidR="00FA355E">
        <w:t>e resul</w:t>
      </w:r>
      <w:r>
        <w:t>t</w:t>
      </w:r>
      <w:r w:rsidR="00FA355E">
        <w:t>s of the cross-correlation analysis</w:t>
      </w:r>
      <w:r>
        <w:t xml:space="preserve">, the following </w:t>
      </w:r>
      <w:r w:rsidR="00FA355E">
        <w:t xml:space="preserve">observations </w:t>
      </w:r>
      <w:r>
        <w:t>can be made:</w:t>
      </w:r>
    </w:p>
    <w:p w14:paraId="2CC1D21A" w14:textId="1AE49B00" w:rsidR="005A7826" w:rsidRDefault="005A7826" w:rsidP="005A7826">
      <w:pPr>
        <w:pStyle w:val="TdocProposal"/>
      </w:pPr>
      <w:r>
        <w:t>Observation 1:</w:t>
      </w:r>
    </w:p>
    <w:p w14:paraId="00223411" w14:textId="6A5DF212" w:rsidR="00413CA3" w:rsidRDefault="009E58CD" w:rsidP="00A27441">
      <w:pPr>
        <w:pStyle w:val="TdocProposalText"/>
      </w:pPr>
      <w:r>
        <w:t>Short OCC</w:t>
      </w:r>
      <w:r w:rsidR="00053591">
        <w:t>s</w:t>
      </w:r>
      <w:r>
        <w:t xml:space="preserve"> applied separately in </w:t>
      </w:r>
      <w:r w:rsidR="00801263">
        <w:t xml:space="preserve">the </w:t>
      </w:r>
      <w:r>
        <w:t>time and frequency domain</w:t>
      </w:r>
      <w:r w:rsidR="00774770">
        <w:t>s</w:t>
      </w:r>
      <w:r>
        <w:t xml:space="preserve"> (</w:t>
      </w:r>
      <w:r w:rsidR="001C2F22">
        <w:t>TF OCC Short</w:t>
      </w:r>
      <w:r>
        <w:t>) demonstrate</w:t>
      </w:r>
      <w:r w:rsidR="00ED2E3F">
        <w:t>s</w:t>
      </w:r>
      <w:r>
        <w:t xml:space="preserve"> the best performance (i.e., lowest cross-correlation metric</w:t>
      </w:r>
      <w:r w:rsidR="00057639">
        <w:t xml:space="preserve"> value</w:t>
      </w:r>
      <w:r>
        <w:t xml:space="preserve">s </w:t>
      </w:r>
      <w:r w:rsidRPr="00A27441">
        <w:object w:dxaOrig="740" w:dyaOrig="360" w14:anchorId="724BCC75">
          <v:shape id="_x0000_i1049" type="#_x0000_t75" style="width:36.85pt;height:18.45pt" o:ole="">
            <v:imagedata r:id="rId37" o:title=""/>
          </v:shape>
          <o:OLEObject Type="Embed" ProgID="Equation.DSMT4" ShapeID="_x0000_i1049" DrawAspect="Content" ObjectID="_1618437056" r:id="rId63"/>
        </w:object>
      </w:r>
      <w:r>
        <w:t xml:space="preserve">) for small number of UE groups </w:t>
      </w:r>
      <w:r w:rsidR="000813A2" w:rsidRPr="00A27441">
        <w:object w:dxaOrig="859" w:dyaOrig="400" w14:anchorId="6EB184B2">
          <v:shape id="_x0000_i1050" type="#_x0000_t75" style="width:42.6pt;height:20.15pt" o:ole="">
            <v:imagedata r:id="rId41" o:title=""/>
          </v:shape>
          <o:OLEObject Type="Embed" ProgID="Equation.DSMT4" ShapeID="_x0000_i1050" DrawAspect="Content" ObjectID="_1618437057" r:id="rId64"/>
        </w:object>
      </w:r>
      <w:r w:rsidR="000813A2">
        <w:t>.</w:t>
      </w:r>
    </w:p>
    <w:p w14:paraId="166FE981" w14:textId="7C0B06BF" w:rsidR="00053591" w:rsidRDefault="00413CA3" w:rsidP="00A27441">
      <w:pPr>
        <w:pStyle w:val="TdocProposalText"/>
      </w:pPr>
      <w:r>
        <w:t xml:space="preserve">For large number of UE groups, </w:t>
      </w:r>
      <w:r w:rsidR="00053591">
        <w:t>phase shifted sequences (DELTA132</w:t>
      </w:r>
      <w:r w:rsidR="00053591" w:rsidRPr="00A27441">
        <w:rPr>
          <w:vertAlign w:val="subscript"/>
        </w:rPr>
        <w:t>13</w:t>
      </w:r>
      <w:r w:rsidR="00053591" w:rsidRPr="00D1630F">
        <w:t>)</w:t>
      </w:r>
      <w:r w:rsidR="00053591">
        <w:t xml:space="preserve"> demonstrates the best performance and slightly outperforms short OCCs applied separately in </w:t>
      </w:r>
      <w:r w:rsidR="00801263">
        <w:t xml:space="preserve">the </w:t>
      </w:r>
      <w:r w:rsidR="00053591">
        <w:t>time and frequency domains (TF OCC Short)</w:t>
      </w:r>
    </w:p>
    <w:p w14:paraId="70390BBA" w14:textId="3D3726D0" w:rsidR="008B03FD" w:rsidRDefault="00183DA3" w:rsidP="00A27441">
      <w:pPr>
        <w:pStyle w:val="TdocProposalText"/>
      </w:pPr>
      <w:r w:rsidRPr="0026633E">
        <w:t xml:space="preserve">Phase </w:t>
      </w:r>
      <w:r>
        <w:t xml:space="preserve">increment sequences </w:t>
      </w:r>
      <w:r w:rsidR="00801263">
        <w:t xml:space="preserve">and short OCCs applied separately in </w:t>
      </w:r>
      <w:r w:rsidR="0053697E">
        <w:t xml:space="preserve">the </w:t>
      </w:r>
      <w:r w:rsidR="00801263">
        <w:t>time and frequency domains (TF OCC Short)</w:t>
      </w:r>
      <w:r w:rsidR="00B879F3">
        <w:t xml:space="preserve"> </w:t>
      </w:r>
      <w:bookmarkStart w:id="16" w:name="_GoBack"/>
      <w:bookmarkEnd w:id="16"/>
      <w:r>
        <w:t xml:space="preserve">outperforms </w:t>
      </w:r>
      <w:r w:rsidR="0053697E">
        <w:t>other WUS sequence design proposals</w:t>
      </w:r>
      <w:r w:rsidR="003C64DA">
        <w:t>.</w:t>
      </w:r>
    </w:p>
    <w:p w14:paraId="6C264DCD" w14:textId="77777777" w:rsidR="007B48D4" w:rsidRDefault="007B48D4" w:rsidP="00196175">
      <w:pPr>
        <w:pStyle w:val="TdocText"/>
      </w:pPr>
    </w:p>
    <w:p w14:paraId="1385FE0D" w14:textId="77777777" w:rsidR="00053591" w:rsidRDefault="00053591" w:rsidP="00053591">
      <w:pPr>
        <w:pStyle w:val="TdocText"/>
      </w:pPr>
      <w:r>
        <w:t xml:space="preserve">It’s noteworthy that phase shifted sequences for UE-group WUS can be also regarded as legacy WUS with two OCC applied separately in the time and frequency domain. In this case, the OCC in the frequency domain is </w:t>
      </w:r>
      <w:r w:rsidRPr="00114D26">
        <w:rPr>
          <w:position w:val="-12"/>
        </w:rPr>
        <w:object w:dxaOrig="1400" w:dyaOrig="540" w14:anchorId="5A17819C">
          <v:shape id="_x0000_i1051" type="#_x0000_t75" style="width:70.25pt;height:27.05pt" o:ole="">
            <v:imagedata r:id="rId65" o:title=""/>
          </v:shape>
          <o:OLEObject Type="Embed" ProgID="Equation.DSMT4" ShapeID="_x0000_i1051" DrawAspect="Content" ObjectID="_1618437058" r:id="rId66"/>
        </w:object>
      </w:r>
      <w:r>
        <w:t xml:space="preserve">, </w:t>
      </w:r>
      <w:r w:rsidRPr="00114D26">
        <w:rPr>
          <w:position w:val="-10"/>
        </w:rPr>
        <w:object w:dxaOrig="1260" w:dyaOrig="320" w14:anchorId="52D43029">
          <v:shape id="_x0000_i1052" type="#_x0000_t75" style="width:62.8pt;height:16.15pt" o:ole="">
            <v:imagedata r:id="rId67" o:title=""/>
          </v:shape>
          <o:OLEObject Type="Embed" ProgID="Equation.DSMT4" ShapeID="_x0000_i1052" DrawAspect="Content" ObjectID="_1618437059" r:id="rId68"/>
        </w:object>
      </w:r>
      <w:r>
        <w:t xml:space="preserve">, the OCC in the time domain is </w:t>
      </w:r>
      <w:r w:rsidRPr="00114D26">
        <w:rPr>
          <w:position w:val="-12"/>
        </w:rPr>
        <w:object w:dxaOrig="1240" w:dyaOrig="540" w14:anchorId="314883B7">
          <v:shape id="_x0000_i1053" type="#_x0000_t75" style="width:62.2pt;height:27.05pt" o:ole="">
            <v:imagedata r:id="rId69" o:title=""/>
          </v:shape>
          <o:OLEObject Type="Embed" ProgID="Equation.DSMT4" ShapeID="_x0000_i1053" DrawAspect="Content" ObjectID="_1618437060" r:id="rId70"/>
        </w:object>
      </w:r>
      <w:r>
        <w:t xml:space="preserve">, </w:t>
      </w:r>
      <w:r w:rsidRPr="00114D26">
        <w:rPr>
          <w:position w:val="-10"/>
        </w:rPr>
        <w:object w:dxaOrig="1280" w:dyaOrig="320" w14:anchorId="45F1CFC2">
          <v:shape id="_x0000_i1054" type="#_x0000_t75" style="width:63.95pt;height:16.15pt" o:ole="">
            <v:imagedata r:id="rId71" o:title=""/>
          </v:shape>
          <o:OLEObject Type="Embed" ProgID="Equation.DSMT4" ShapeID="_x0000_i1054" DrawAspect="Content" ObjectID="_1618437061" r:id="rId72"/>
        </w:object>
      </w:r>
      <w:r>
        <w:t xml:space="preserve"> and </w:t>
      </w:r>
      <w:r w:rsidRPr="00114D26">
        <w:rPr>
          <w:position w:val="-10"/>
        </w:rPr>
        <w:object w:dxaOrig="1540" w:dyaOrig="320" w14:anchorId="68BC1BDE">
          <v:shape id="_x0000_i1055" type="#_x0000_t75" style="width:77.2pt;height:16.15pt" o:ole="">
            <v:imagedata r:id="rId73" o:title=""/>
          </v:shape>
          <o:OLEObject Type="Embed" ProgID="Equation.DSMT4" ShapeID="_x0000_i1055" DrawAspect="Content" ObjectID="_1618437062" r:id="rId74"/>
        </w:object>
      </w:r>
      <w:r>
        <w:t>.</w:t>
      </w:r>
    </w:p>
    <w:p w14:paraId="04766770" w14:textId="4D0EACD7" w:rsidR="00196175" w:rsidRDefault="00196175" w:rsidP="00196175">
      <w:pPr>
        <w:pStyle w:val="TdocText"/>
      </w:pPr>
      <w:r>
        <w:t xml:space="preserve">Based on the </w:t>
      </w:r>
      <w:r w:rsidR="00DE6AA3">
        <w:t xml:space="preserve">observation from the evaluation results, the following </w:t>
      </w:r>
      <w:r>
        <w:t>proposal can be made:</w:t>
      </w:r>
    </w:p>
    <w:p w14:paraId="69634AEE" w14:textId="75861382" w:rsidR="00167EDB" w:rsidRDefault="00167EDB" w:rsidP="0017253C">
      <w:pPr>
        <w:pStyle w:val="TdocProposal"/>
      </w:pPr>
      <w:r>
        <w:t xml:space="preserve">Proposal </w:t>
      </w:r>
      <w:r w:rsidR="00854600">
        <w:t>3</w:t>
      </w:r>
      <w:r w:rsidR="001403B5">
        <w:t>:</w:t>
      </w:r>
    </w:p>
    <w:p w14:paraId="1E81A255" w14:textId="3E11C38E" w:rsidR="006A79B6" w:rsidRDefault="00F11399" w:rsidP="00A27441">
      <w:pPr>
        <w:pStyle w:val="TdocProposalText"/>
      </w:pPr>
      <w:r>
        <w:t>UE</w:t>
      </w:r>
      <w:r w:rsidR="006F1E9E">
        <w:t xml:space="preserve">-group WUS sequence in Rel-16 </w:t>
      </w:r>
      <w:r w:rsidR="009F15BA">
        <w:t>is</w:t>
      </w:r>
      <w:r w:rsidR="006A79B6">
        <w:t xml:space="preserve"> </w:t>
      </w:r>
      <w:r w:rsidR="006F1E9E">
        <w:t>based on</w:t>
      </w:r>
      <w:r w:rsidR="006A79B6">
        <w:t xml:space="preserve"> the legacy WUS </w:t>
      </w:r>
      <w:r w:rsidR="00A27441">
        <w:t xml:space="preserve">and </w:t>
      </w:r>
      <w:r w:rsidR="00251E27">
        <w:t>two short OCCs applied separately in the time and frequency domains</w:t>
      </w:r>
      <w:r w:rsidR="006A79B6">
        <w:t>.</w:t>
      </w:r>
    </w:p>
    <w:p w14:paraId="6F3F648D" w14:textId="6C795815" w:rsidR="007F287D" w:rsidRDefault="007F287D" w:rsidP="00D1630F">
      <w:pPr>
        <w:pStyle w:val="TdocProposalText"/>
        <w:numPr>
          <w:ilvl w:val="1"/>
          <w:numId w:val="6"/>
        </w:numPr>
      </w:pPr>
      <w:r>
        <w:t>FFS: OCC type</w:t>
      </w:r>
    </w:p>
    <w:p w14:paraId="529BB75A" w14:textId="77777777" w:rsidR="003069A3" w:rsidRPr="004021A6" w:rsidRDefault="003069A3" w:rsidP="004021A6"/>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D7E689D" w:rsidR="00A72C6C" w:rsidRPr="00073E3D" w:rsidRDefault="00A72C6C" w:rsidP="00366D26">
      <w:pPr>
        <w:pStyle w:val="TdocText"/>
        <w:rPr>
          <w:lang w:eastAsia="zh-CN"/>
        </w:rPr>
      </w:pPr>
      <w:r w:rsidRPr="00073E3D">
        <w:rPr>
          <w:lang w:eastAsia="zh-CN"/>
        </w:rPr>
        <w:t xml:space="preserve">In this contribution, we discussed </w:t>
      </w:r>
      <w:r w:rsidR="00B83B95">
        <w:rPr>
          <w:lang w:eastAsia="zh-CN"/>
        </w:rPr>
        <w:t xml:space="preserve">consideration on </w:t>
      </w:r>
      <w:r w:rsidR="00943663" w:rsidRPr="00A35853">
        <w:rPr>
          <w:lang w:eastAsia="zh-CN"/>
        </w:rPr>
        <w:t xml:space="preserve">UE-group WUS for </w:t>
      </w:r>
      <w:r w:rsidR="00167944">
        <w:rPr>
          <w:lang w:eastAsia="zh-CN"/>
        </w:rPr>
        <w:t>NB-IoT</w:t>
      </w:r>
      <w:r w:rsidR="00167944" w:rsidRPr="00A35853">
        <w:rPr>
          <w:lang w:eastAsia="zh-CN"/>
        </w:rPr>
        <w:t xml:space="preserve"> </w:t>
      </w:r>
      <w:r w:rsidR="00943663" w:rsidRPr="00A35853">
        <w:rPr>
          <w:lang w:eastAsia="zh-CN"/>
        </w:rPr>
        <w:t>devices in Rel-16</w:t>
      </w:r>
      <w:r w:rsidR="00C87BD0">
        <w:rPr>
          <w:lang w:eastAsia="zh-CN"/>
        </w:rPr>
        <w:t xml:space="preserve">. </w:t>
      </w:r>
      <w:r w:rsidRPr="00073E3D">
        <w:rPr>
          <w:lang w:eastAsia="zh-CN"/>
        </w:rPr>
        <w:t>Our proposals are summarized as below:</w:t>
      </w:r>
    </w:p>
    <w:p w14:paraId="08692848" w14:textId="77777777" w:rsidR="00E608EB" w:rsidRPr="006A10E4" w:rsidRDefault="00E608EB" w:rsidP="00366D26"/>
    <w:p w14:paraId="4BC2D636" w14:textId="77777777" w:rsidR="004106FB" w:rsidRDefault="004106FB" w:rsidP="004106FB">
      <w:pPr>
        <w:pStyle w:val="TdocProposal"/>
      </w:pPr>
      <w:r>
        <w:t>Proposal 1</w:t>
      </w:r>
      <w:r w:rsidRPr="00A57355">
        <w:t>:</w:t>
      </w:r>
    </w:p>
    <w:p w14:paraId="0CA0A32C" w14:textId="77777777" w:rsidR="004106FB" w:rsidRDefault="004106FB" w:rsidP="004106FB">
      <w:pPr>
        <w:pStyle w:val="TdocProposalText"/>
      </w:pPr>
      <w:r>
        <w:t>O</w:t>
      </w:r>
      <w:r w:rsidRPr="002F2E66">
        <w:t xml:space="preserve">ne of the </w:t>
      </w:r>
      <w:r>
        <w:t xml:space="preserve">two </w:t>
      </w:r>
      <w:r w:rsidRPr="002F2E66">
        <w:t xml:space="preserve">WUS resources </w:t>
      </w:r>
      <w:r>
        <w:t xml:space="preserve">can be </w:t>
      </w:r>
      <w:r w:rsidRPr="002F2E66">
        <w:t>configured to be shared with legacy WUS</w:t>
      </w:r>
    </w:p>
    <w:p w14:paraId="09A08264" w14:textId="77777777" w:rsidR="004106FB" w:rsidRDefault="004106FB" w:rsidP="004106FB">
      <w:pPr>
        <w:pStyle w:val="TdocProposalText"/>
        <w:numPr>
          <w:ilvl w:val="1"/>
          <w:numId w:val="6"/>
        </w:numPr>
      </w:pPr>
      <w:r>
        <w:t>If not configured, the WUS resource is used only for legacy WUS transmission and another WUS resource is used only for Rel-16 UE-group WUS.</w:t>
      </w:r>
    </w:p>
    <w:p w14:paraId="7EFC7D72" w14:textId="77777777" w:rsidR="00D1630F" w:rsidRDefault="00D1630F" w:rsidP="00D1630F">
      <w:pPr>
        <w:pStyle w:val="TdocProposalText"/>
      </w:pPr>
      <w:r w:rsidRPr="00D328D5">
        <w:t xml:space="preserve">If the group WUS resource is configured to be shared by </w:t>
      </w:r>
      <w:r>
        <w:t xml:space="preserve">legacy </w:t>
      </w:r>
      <w:r w:rsidRPr="00D328D5">
        <w:t xml:space="preserve">Rel-15 WUS and Rel-16 WUS, a common WUS for all the group WUS UEs in the same WUS resource </w:t>
      </w:r>
      <w:r>
        <w:t>is</w:t>
      </w:r>
      <w:r w:rsidRPr="00D328D5">
        <w:t xml:space="preserve"> configured to be legacy WUS or a non-legacy WUS</w:t>
      </w:r>
      <w:r w:rsidRPr="00E42140">
        <w:t>.</w:t>
      </w:r>
    </w:p>
    <w:p w14:paraId="5C689713" w14:textId="77777777" w:rsidR="00196175" w:rsidRDefault="00196175" w:rsidP="00196175"/>
    <w:p w14:paraId="6B3E4ED9" w14:textId="77777777" w:rsidR="004106FB" w:rsidRDefault="004106FB" w:rsidP="004106FB">
      <w:pPr>
        <w:pStyle w:val="TdocProposal"/>
      </w:pPr>
      <w:r>
        <w:lastRenderedPageBreak/>
        <w:t>Proposal 2</w:t>
      </w:r>
      <w:r w:rsidRPr="00A57355">
        <w:t>:</w:t>
      </w:r>
    </w:p>
    <w:p w14:paraId="5063DBEF" w14:textId="77777777" w:rsidR="004106FB" w:rsidRDefault="004106FB" w:rsidP="004106FB">
      <w:pPr>
        <w:pStyle w:val="TdocProposalText"/>
      </w:pPr>
      <w:r>
        <w:t>For SS-CDM, the max number of WUS sequences within the same WUS resource is equal to 3.</w:t>
      </w:r>
    </w:p>
    <w:p w14:paraId="21F93877" w14:textId="77777777" w:rsidR="004106FB" w:rsidRDefault="004106FB" w:rsidP="004106FB">
      <w:pPr>
        <w:pStyle w:val="TdocProposalText"/>
        <w:numPr>
          <w:ilvl w:val="1"/>
          <w:numId w:val="6"/>
        </w:numPr>
      </w:pPr>
      <w:r w:rsidRPr="00D82323">
        <w:t>This corresponds to UE group-0, UE-group-1 and the common UE group</w:t>
      </w:r>
      <w:r>
        <w:t>.</w:t>
      </w:r>
    </w:p>
    <w:p w14:paraId="2B7AD94F" w14:textId="77777777" w:rsidR="00073570" w:rsidRDefault="00073570" w:rsidP="00366D26"/>
    <w:p w14:paraId="0095FD1B" w14:textId="77777777" w:rsidR="00854600" w:rsidRDefault="00854600" w:rsidP="00854600">
      <w:pPr>
        <w:pStyle w:val="TdocProposal"/>
      </w:pPr>
      <w:r>
        <w:t>Proposal 3:</w:t>
      </w:r>
    </w:p>
    <w:p w14:paraId="5854D354" w14:textId="77777777" w:rsidR="000E6C9A" w:rsidRDefault="000E6C9A" w:rsidP="000E6C9A">
      <w:pPr>
        <w:pStyle w:val="TdocProposalText"/>
      </w:pPr>
      <w:r>
        <w:t>UE-group WUS sequence in Rel-16 is based on the legacy WUS and two short OCCs applied separately in the time and frequency domains.</w:t>
      </w:r>
    </w:p>
    <w:p w14:paraId="3205F2A1" w14:textId="77777777" w:rsidR="00F92FBA" w:rsidRDefault="00F92FBA" w:rsidP="00F92FBA">
      <w:pPr>
        <w:pStyle w:val="TdocProposalText"/>
        <w:numPr>
          <w:ilvl w:val="1"/>
          <w:numId w:val="6"/>
        </w:numPr>
      </w:pPr>
      <w:r>
        <w:t>FFS: OCC type</w:t>
      </w:r>
    </w:p>
    <w:p w14:paraId="537F621D" w14:textId="77777777" w:rsidR="00C67851" w:rsidRDefault="00C67851" w:rsidP="00366D26"/>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77777777" w:rsidR="0015086E" w:rsidRPr="00BF183C" w:rsidRDefault="0080067E" w:rsidP="00BF183C">
      <w:pPr>
        <w:pStyle w:val="TdocReference"/>
      </w:pPr>
      <w:bookmarkStart w:id="17" w:name="_Ref513808269"/>
      <w:r w:rsidRPr="00BF183C">
        <w:t>RP-181450, “Rel-16 MTC enhancements for LTE”, Ericsson, 3GPP TSG RAN meeting #80, La Jolla, USA, June 2018</w:t>
      </w:r>
      <w:r w:rsidR="00700053" w:rsidRPr="00BF183C">
        <w:t>.</w:t>
      </w:r>
      <w:bookmarkEnd w:id="17"/>
    </w:p>
    <w:p w14:paraId="16B06919" w14:textId="75DD4871" w:rsidR="006178BC" w:rsidRDefault="006178BC" w:rsidP="00AB3D55">
      <w:pPr>
        <w:pStyle w:val="TdocReference"/>
      </w:pPr>
      <w:bookmarkStart w:id="18" w:name="_Ref525477075"/>
      <w:r w:rsidRPr="00BF183C">
        <w:t>RAN1 Chairman’s Notes. 3GPP TSG RAN WG1 Meeting #</w:t>
      </w:r>
      <w:r w:rsidR="00D03475" w:rsidRPr="00BF183C">
        <w:t>9</w:t>
      </w:r>
      <w:r w:rsidR="00D03475">
        <w:t>6</w:t>
      </w:r>
      <w:r w:rsidRPr="00BF183C">
        <w:t xml:space="preserve">, </w:t>
      </w:r>
      <w:r w:rsidR="00D03475">
        <w:t>Athens</w:t>
      </w:r>
      <w:r w:rsidRPr="00BF183C">
        <w:t xml:space="preserve">, </w:t>
      </w:r>
      <w:r w:rsidR="00D03475">
        <w:t>Greece</w:t>
      </w:r>
      <w:r w:rsidRPr="00BF183C">
        <w:t xml:space="preserve">, </w:t>
      </w:r>
      <w:r w:rsidR="00AB3D55" w:rsidRPr="00AB3D55">
        <w:t>February 25</w:t>
      </w:r>
      <w:r w:rsidR="00AB3D55" w:rsidRPr="004106FB">
        <w:rPr>
          <w:vertAlign w:val="superscript"/>
        </w:rPr>
        <w:t>th</w:t>
      </w:r>
      <w:r w:rsidR="00AB3D55" w:rsidRPr="00AB3D55">
        <w:t xml:space="preserve"> – March 1</w:t>
      </w:r>
      <w:r w:rsidR="00AB3D55" w:rsidRPr="004106FB">
        <w:rPr>
          <w:vertAlign w:val="superscript"/>
        </w:rPr>
        <w:t>st</w:t>
      </w:r>
      <w:r w:rsidR="00AB3D55" w:rsidRPr="00AB3D55">
        <w:t>, 2019</w:t>
      </w:r>
      <w:r w:rsidRPr="00BF183C">
        <w:t>.</w:t>
      </w:r>
      <w:bookmarkEnd w:id="18"/>
    </w:p>
    <w:p w14:paraId="4B71526B" w14:textId="008572CA" w:rsidR="00360253" w:rsidRDefault="00360253" w:rsidP="00360253">
      <w:pPr>
        <w:pStyle w:val="TdocReference"/>
      </w:pPr>
      <w:bookmarkStart w:id="19" w:name="_Ref525558335"/>
      <w:r w:rsidRPr="00360253">
        <w:t>3GPP TS 36.211</w:t>
      </w:r>
      <w:r>
        <w:t xml:space="preserve">. </w:t>
      </w:r>
      <w:r w:rsidRPr="00360253">
        <w:t>V15.2.0</w:t>
      </w:r>
      <w:r>
        <w:t xml:space="preserve">. Evolved Universal Terrestrial Radio Access (E-UTRA); Physical channels and modulation (Release 15). </w:t>
      </w:r>
      <w:r w:rsidRPr="00360253">
        <w:t>2018-06</w:t>
      </w:r>
      <w:r>
        <w:t>.</w:t>
      </w:r>
      <w:bookmarkEnd w:id="19"/>
    </w:p>
    <w:p w14:paraId="734454A9" w14:textId="767260AD" w:rsidR="00196175" w:rsidRDefault="00196175" w:rsidP="00196175">
      <w:pPr>
        <w:pStyle w:val="TdocReference"/>
      </w:pPr>
      <w:bookmarkStart w:id="20" w:name="_Ref1150870"/>
      <w:r>
        <w:t>R1-</w:t>
      </w:r>
      <w:r w:rsidRPr="00196175">
        <w:t>1812127</w:t>
      </w:r>
      <w:r>
        <w:t>, “</w:t>
      </w:r>
      <w:r w:rsidRPr="00196175">
        <w:t>UE-group wake-up signal in NB-IoT</w:t>
      </w:r>
      <w:r>
        <w:t xml:space="preserve">”, Ericsson, </w:t>
      </w:r>
      <w:r w:rsidRPr="00BF183C">
        <w:t>3GPP TSG RAN WG1 Meeting #9</w:t>
      </w:r>
      <w:r>
        <w:t>5</w:t>
      </w:r>
      <w:r w:rsidRPr="00BF183C">
        <w:t xml:space="preserve">, </w:t>
      </w:r>
      <w:r>
        <w:t>Spokane</w:t>
      </w:r>
      <w:r w:rsidRPr="00BF183C">
        <w:t xml:space="preserve">, </w:t>
      </w:r>
      <w:r>
        <w:t>USA</w:t>
      </w:r>
      <w:r w:rsidRPr="00BF183C">
        <w:t xml:space="preserve">, </w:t>
      </w:r>
      <w:r>
        <w:t>November</w:t>
      </w:r>
      <w:r w:rsidRPr="00BF183C">
        <w:t xml:space="preserve"> </w:t>
      </w:r>
      <w:r>
        <w:t>12</w:t>
      </w:r>
      <w:r w:rsidRPr="00385C8B">
        <w:rPr>
          <w:vertAlign w:val="superscript"/>
        </w:rPr>
        <w:t>th</w:t>
      </w:r>
      <w:r>
        <w:t>-16th</w:t>
      </w:r>
      <w:r w:rsidRPr="00BF183C">
        <w:t>, 2018.</w:t>
      </w:r>
      <w:bookmarkEnd w:id="20"/>
    </w:p>
    <w:p w14:paraId="5BA2EE7E" w14:textId="37D64F69" w:rsidR="005808E6" w:rsidRDefault="005808E6" w:rsidP="00DB1736">
      <w:pPr>
        <w:pStyle w:val="TdocReference"/>
      </w:pPr>
      <w:bookmarkStart w:id="21" w:name="_Ref5365856"/>
      <w:r w:rsidRPr="005808E6">
        <w:t>R1-1904526</w:t>
      </w:r>
      <w:r>
        <w:t>, “</w:t>
      </w:r>
      <w:r w:rsidR="00DB1736" w:rsidRPr="00DB1736">
        <w:t>UE-group wake-up signal for NB-IoT</w:t>
      </w:r>
      <w:r>
        <w:t xml:space="preserve">”, </w:t>
      </w:r>
      <w:r w:rsidRPr="005808E6">
        <w:t>Qualcomm Inc</w:t>
      </w:r>
      <w:r>
        <w:t xml:space="preserve">., </w:t>
      </w:r>
      <w:r w:rsidRPr="00BF183C">
        <w:t>3GPP TSG RAN WG1 Meeting #9</w:t>
      </w:r>
      <w:r>
        <w:t xml:space="preserve">6bis, </w:t>
      </w:r>
      <w:r w:rsidR="00D20D42" w:rsidRPr="00D20D42">
        <w:t>Xi’an, China, 8</w:t>
      </w:r>
      <w:r w:rsidR="00D20D42" w:rsidRPr="009E6C6A">
        <w:rPr>
          <w:vertAlign w:val="superscript"/>
        </w:rPr>
        <w:t>th</w:t>
      </w:r>
      <w:r w:rsidR="00D20D42">
        <w:t xml:space="preserve"> </w:t>
      </w:r>
      <w:r w:rsidR="00D20D42" w:rsidRPr="00D20D42">
        <w:t>– 12</w:t>
      </w:r>
      <w:r w:rsidR="00D20D42" w:rsidRPr="009E6C6A">
        <w:rPr>
          <w:vertAlign w:val="superscript"/>
        </w:rPr>
        <w:t>th</w:t>
      </w:r>
      <w:r w:rsidR="00D20D42">
        <w:t xml:space="preserve"> </w:t>
      </w:r>
      <w:r w:rsidR="00D20D42" w:rsidRPr="00D20D42">
        <w:t>April 2019</w:t>
      </w:r>
      <w:r w:rsidR="00D20D42">
        <w:t>.</w:t>
      </w:r>
      <w:bookmarkEnd w:id="21"/>
    </w:p>
    <w:p w14:paraId="290221D4" w14:textId="6B904B59" w:rsidR="00892CAD" w:rsidRPr="00BF183C" w:rsidRDefault="00CE425A" w:rsidP="009E6C6A">
      <w:pPr>
        <w:pStyle w:val="TdocReference"/>
      </w:pPr>
      <w:bookmarkStart w:id="22" w:name="_Ref5365978"/>
      <w:r w:rsidRPr="005808E6">
        <w:t>R1-</w:t>
      </w:r>
      <w:r w:rsidR="009E6C6A" w:rsidRPr="009E6C6A">
        <w:t>1903891</w:t>
      </w:r>
      <w:r>
        <w:t>, “</w:t>
      </w:r>
      <w:r w:rsidR="00D52668" w:rsidRPr="00D52668">
        <w:t>UE-group wake-up signal in NB-IoT</w:t>
      </w:r>
      <w:r>
        <w:t>”,</w:t>
      </w:r>
      <w:r w:rsidR="00D52668">
        <w:t xml:space="preserve"> Ericsson</w:t>
      </w:r>
      <w:r>
        <w:t xml:space="preserve">, </w:t>
      </w:r>
      <w:r w:rsidRPr="00BF183C">
        <w:t>3GPP TSG RAN WG1 Meeting #9</w:t>
      </w:r>
      <w:r>
        <w:t xml:space="preserve">6bis, </w:t>
      </w:r>
      <w:r w:rsidRPr="00D20D42">
        <w:t>Xi’an, China, 8</w:t>
      </w:r>
      <w:r w:rsidRPr="00813774">
        <w:rPr>
          <w:vertAlign w:val="superscript"/>
        </w:rPr>
        <w:t>th</w:t>
      </w:r>
      <w:r>
        <w:t xml:space="preserve"> </w:t>
      </w:r>
      <w:r w:rsidRPr="00D20D42">
        <w:t>– 12</w:t>
      </w:r>
      <w:r w:rsidRPr="00813774">
        <w:rPr>
          <w:vertAlign w:val="superscript"/>
        </w:rPr>
        <w:t>th</w:t>
      </w:r>
      <w:r>
        <w:t xml:space="preserve"> </w:t>
      </w:r>
      <w:r w:rsidRPr="00D20D42">
        <w:t>April 2019</w:t>
      </w:r>
      <w:r>
        <w:t>.</w:t>
      </w:r>
      <w:bookmarkEnd w:id="22"/>
    </w:p>
    <w:p w14:paraId="4DBBAB6F" w14:textId="77777777" w:rsidR="00700053" w:rsidRDefault="00700053" w:rsidP="00700053">
      <w:pPr>
        <w:rPr>
          <w:i/>
        </w:rPr>
      </w:pPr>
    </w:p>
    <w:p w14:paraId="0C2ACB50" w14:textId="3AB6E39F" w:rsidR="00E771A6" w:rsidRPr="006D6DB9" w:rsidRDefault="00E771A6" w:rsidP="00E771A6">
      <w:pPr>
        <w:pStyle w:val="Heading1"/>
        <w:rPr>
          <w:rFonts w:cs="Arial"/>
          <w:sz w:val="32"/>
          <w:szCs w:val="32"/>
          <w:lang w:val="en-US"/>
        </w:rPr>
      </w:pPr>
      <w:r>
        <w:rPr>
          <w:rFonts w:cs="Arial"/>
          <w:sz w:val="32"/>
          <w:szCs w:val="32"/>
          <w:lang w:val="en-US"/>
        </w:rPr>
        <w:t>Appendix</w:t>
      </w:r>
    </w:p>
    <w:p w14:paraId="2414EE21" w14:textId="4827AA90" w:rsidR="003D46D6" w:rsidRDefault="003D46D6" w:rsidP="003D46D6">
      <w:pPr>
        <w:pStyle w:val="TdocText"/>
      </w:pPr>
      <w:r>
        <w:t xml:space="preserve">The WUS sequence generation for NB-IoT is defined in Section </w:t>
      </w:r>
      <w:r w:rsidRPr="00F7279A">
        <w:t>10.2.6B.1</w:t>
      </w:r>
      <w:r>
        <w:t xml:space="preserve"> of </w:t>
      </w:r>
      <w:r>
        <w:rPr>
          <w:highlight w:val="yellow"/>
        </w:rPr>
        <w:fldChar w:fldCharType="begin"/>
      </w:r>
      <w:r>
        <w:instrText xml:space="preserve"> REF _Ref525558335 \r \h </w:instrText>
      </w:r>
      <w:r>
        <w:rPr>
          <w:highlight w:val="yellow"/>
        </w:rPr>
      </w:r>
      <w:r>
        <w:rPr>
          <w:highlight w:val="yellow"/>
        </w:rPr>
        <w:fldChar w:fldCharType="separate"/>
      </w:r>
      <w:r w:rsidR="00B92875">
        <w:t>[3]</w:t>
      </w:r>
      <w:r>
        <w:rPr>
          <w:highlight w:val="yellow"/>
        </w:rPr>
        <w:fldChar w:fldCharType="end"/>
      </w:r>
      <w:r>
        <w:t xml:space="preserve">. In order to keep backwards compatibility with Rel-15 and, at the same time, minimize the impact on the existing RAN1 specification, the following procedure for WUS sequence generation is proposed for Rel-16. The Gold RE-level scrambling sequence </w:t>
      </w:r>
      <w:r w:rsidRPr="00FD7E66">
        <w:rPr>
          <w:position w:val="-14"/>
        </w:rPr>
        <w:object w:dxaOrig="760" w:dyaOrig="380" w14:anchorId="78F08B91">
          <v:shape id="_x0000_i1056" type="#_x0000_t75" style="width:38.6pt;height:18.45pt" o:ole="">
            <v:imagedata r:id="rId75" o:title=""/>
          </v:shape>
          <o:OLEObject Type="Embed" ProgID="Equation.DSMT4" ShapeID="_x0000_i1056" DrawAspect="Content" ObjectID="_1618437063" r:id="rId76"/>
        </w:object>
      </w:r>
      <w:r>
        <w:t xml:space="preserve"> is extended </w:t>
      </w:r>
      <w:r w:rsidRPr="00FD7E66">
        <w:rPr>
          <w:position w:val="-14"/>
        </w:rPr>
        <w:object w:dxaOrig="499" w:dyaOrig="400" w14:anchorId="3F272AAB">
          <v:shape id="_x0000_i1057" type="#_x0000_t75" style="width:24.75pt;height:20.15pt" o:ole="">
            <v:imagedata r:id="rId22" o:title=""/>
          </v:shape>
          <o:OLEObject Type="Embed" ProgID="Equation.DSMT4" ShapeID="_x0000_i1057" DrawAspect="Content" ObjectID="_1618437064" r:id="rId77"/>
        </w:object>
      </w:r>
      <w:r>
        <w:t xml:space="preserve"> times, </w:t>
      </w:r>
      <w:r w:rsidRPr="00FD7E66">
        <w:rPr>
          <w:position w:val="-14"/>
        </w:rPr>
        <w:object w:dxaOrig="2720" w:dyaOrig="400" w14:anchorId="5C9CB8A9">
          <v:shape id="_x0000_i1058" type="#_x0000_t75" style="width:135.95pt;height:20.15pt" o:ole="">
            <v:imagedata r:id="rId78" o:title=""/>
          </v:shape>
          <o:OLEObject Type="Embed" ProgID="Equation.DSMT4" ShapeID="_x0000_i1058" DrawAspect="Content" ObjectID="_1618437065" r:id="rId79"/>
        </w:object>
      </w:r>
      <w:r>
        <w:t xml:space="preserve">, where </w:t>
      </w:r>
      <w:r w:rsidRPr="008F379D">
        <w:rPr>
          <w:position w:val="-14"/>
        </w:rPr>
        <w:object w:dxaOrig="499" w:dyaOrig="400" w14:anchorId="036523BC">
          <v:shape id="_x0000_i1059" type="#_x0000_t75" style="width:24.75pt;height:20.15pt" o:ole="">
            <v:imagedata r:id="rId22" o:title=""/>
          </v:shape>
          <o:OLEObject Type="Embed" ProgID="Equation.DSMT4" ShapeID="_x0000_i1059" DrawAspect="Content" ObjectID="_1618437066" r:id="rId80"/>
        </w:object>
      </w:r>
      <w:r>
        <w:t xml:space="preserve"> is the total number of UE groups using the same initialization value </w:t>
      </w:r>
      <w:r w:rsidRPr="00FD7E66">
        <w:rPr>
          <w:position w:val="-14"/>
        </w:rPr>
        <w:object w:dxaOrig="740" w:dyaOrig="380" w14:anchorId="5A188BD5">
          <v:shape id="_x0000_i1060" type="#_x0000_t75" style="width:36.85pt;height:18.45pt" o:ole="">
            <v:imagedata r:id="rId81" o:title=""/>
          </v:shape>
          <o:OLEObject Type="Embed" ProgID="Equation.DSMT4" ShapeID="_x0000_i1060" DrawAspect="Content" ObjectID="_1618437067" r:id="rId82"/>
        </w:object>
      </w:r>
      <w:r>
        <w:t xml:space="preserve"> as defined in Section </w:t>
      </w:r>
      <w:r w:rsidRPr="00A31E09">
        <w:t>10.2.6B.1</w:t>
      </w:r>
      <w:r>
        <w:t xml:space="preserve"> </w:t>
      </w:r>
      <w:r>
        <w:rPr>
          <w:highlight w:val="yellow"/>
        </w:rPr>
        <w:fldChar w:fldCharType="begin"/>
      </w:r>
      <w:r>
        <w:instrText xml:space="preserve"> REF _Ref525558335 \r \h </w:instrText>
      </w:r>
      <w:r>
        <w:rPr>
          <w:highlight w:val="yellow"/>
        </w:rPr>
      </w:r>
      <w:r>
        <w:rPr>
          <w:highlight w:val="yellow"/>
        </w:rPr>
        <w:fldChar w:fldCharType="separate"/>
      </w:r>
      <w:r w:rsidR="00B92875">
        <w:t>[3]</w:t>
      </w:r>
      <w:r>
        <w:rPr>
          <w:highlight w:val="yellow"/>
        </w:rPr>
        <w:fldChar w:fldCharType="end"/>
      </w:r>
      <w:r>
        <w:t xml:space="preserve">. For WUS scrambling, a shorter subsequence </w:t>
      </w:r>
      <w:r w:rsidRPr="00C85655">
        <w:rPr>
          <w:position w:val="-14"/>
        </w:rPr>
        <w:object w:dxaOrig="920" w:dyaOrig="380" w14:anchorId="7AB94E7B">
          <v:shape id="_x0000_i1061" type="#_x0000_t75" style="width:45.5pt;height:18.45pt" o:ole="">
            <v:imagedata r:id="rId83" o:title=""/>
          </v:shape>
          <o:OLEObject Type="Embed" ProgID="Equation.DSMT4" ShapeID="_x0000_i1061" DrawAspect="Content" ObjectID="_1618437068" r:id="rId84"/>
        </w:object>
      </w:r>
      <w:r>
        <w:t xml:space="preserve">, </w:t>
      </w:r>
      <w:r w:rsidRPr="00C85655">
        <w:object w:dxaOrig="2220" w:dyaOrig="320" w14:anchorId="3204B84D">
          <v:shape id="_x0000_i1062" type="#_x0000_t75" style="width:111.15pt;height:16.15pt" o:ole="">
            <v:imagedata r:id="rId85" o:title=""/>
          </v:shape>
          <o:OLEObject Type="Embed" ProgID="Equation.DSMT4" ShapeID="_x0000_i1062" DrawAspect="Content" ObjectID="_1618437069" r:id="rId86"/>
        </w:object>
      </w:r>
      <w:r>
        <w:t xml:space="preserve">, from the new long Gold sequence </w:t>
      </w:r>
      <w:r w:rsidRPr="008F379D">
        <w:rPr>
          <w:position w:val="-14"/>
        </w:rPr>
        <w:object w:dxaOrig="760" w:dyaOrig="380" w14:anchorId="7A1F1FEF">
          <v:shape id="_x0000_i1063" type="#_x0000_t75" style="width:38.6pt;height:18.45pt" o:ole="">
            <v:imagedata r:id="rId75" o:title=""/>
          </v:shape>
          <o:OLEObject Type="Embed" ProgID="Equation.DSMT4" ShapeID="_x0000_i1063" DrawAspect="Content" ObjectID="_1618437070" r:id="rId87"/>
        </w:object>
      </w:r>
      <w:r>
        <w:t xml:space="preserve"> is selected according to the UE group index </w:t>
      </w:r>
      <w:r w:rsidRPr="00FD7E66">
        <w:rPr>
          <w:position w:val="-6"/>
        </w:rPr>
        <w:object w:dxaOrig="180" w:dyaOrig="220" w14:anchorId="17191C59">
          <v:shape id="_x0000_i1064" type="#_x0000_t75" style="width:9.2pt;height:11.5pt" o:ole="">
            <v:imagedata r:id="rId88" o:title=""/>
          </v:shape>
          <o:OLEObject Type="Embed" ProgID="Equation.DSMT4" ShapeID="_x0000_i1064" DrawAspect="Content" ObjectID="_1618437071" r:id="rId89"/>
        </w:object>
      </w:r>
      <w:r>
        <w:t xml:space="preserve">, </w:t>
      </w:r>
      <w:r w:rsidRPr="00FD7E66">
        <w:rPr>
          <w:position w:val="-14"/>
        </w:rPr>
        <w:object w:dxaOrig="1840" w:dyaOrig="400" w14:anchorId="39613403">
          <v:shape id="_x0000_i1065" type="#_x0000_t75" style="width:92.15pt;height:20.15pt" o:ole="">
            <v:imagedata r:id="rId90" o:title=""/>
          </v:shape>
          <o:OLEObject Type="Embed" ProgID="Equation.DSMT4" ShapeID="_x0000_i1065" DrawAspect="Content" ObjectID="_1618437072" r:id="rId91"/>
        </w:object>
      </w:r>
      <w:r>
        <w:t>, as follows:</w:t>
      </w:r>
    </w:p>
    <w:p w14:paraId="52001E89" w14:textId="34C71F25" w:rsidR="003D46D6" w:rsidRDefault="003D46D6" w:rsidP="003D46D6">
      <w:pPr>
        <w:pStyle w:val="TdocEquation"/>
      </w:pPr>
      <w:r w:rsidRPr="005E2E84">
        <w:tab/>
      </w:r>
      <w:r w:rsidRPr="005B0B95">
        <w:object w:dxaOrig="3140" w:dyaOrig="380" w14:anchorId="61151AF9">
          <v:shape id="_x0000_i1066" type="#_x0000_t75" style="width:156.65pt;height:18.45pt" o:ole="">
            <v:imagedata r:id="rId92" o:title=""/>
          </v:shape>
          <o:OLEObject Type="Embed" ProgID="Equation.DSMT4" ShapeID="_x0000_i1066" DrawAspect="Content" ObjectID="_1618437073" r:id="rId93"/>
        </w:object>
      </w:r>
      <w:r w:rsidRPr="005B0B95">
        <w:t>,</w:t>
      </w:r>
      <w:r w:rsidRPr="005B0B95">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rPr>
          <w:noProof/>
        </w:rPr>
        <w:fldChar w:fldCharType="begin"/>
      </w:r>
      <w:r>
        <w:rPr>
          <w:noProof/>
        </w:rPr>
        <w:instrText xml:space="preserve"> SEQ MTEqn \c \* Arabic \* MERGEFORMAT </w:instrText>
      </w:r>
      <w:r>
        <w:rPr>
          <w:noProof/>
        </w:rPr>
        <w:fldChar w:fldCharType="separate"/>
      </w:r>
      <w:r w:rsidR="00B92875">
        <w:rPr>
          <w:noProof/>
        </w:rPr>
        <w:instrText>4</w:instrText>
      </w:r>
      <w:r>
        <w:rPr>
          <w:noProof/>
        </w:rPr>
        <w:fldChar w:fldCharType="end"/>
      </w:r>
      <w:r>
        <w:instrText>)</w:instrText>
      </w:r>
      <w:r>
        <w:fldChar w:fldCharType="end"/>
      </w:r>
    </w:p>
    <w:p w14:paraId="69A05099" w14:textId="2896A312" w:rsidR="003D46D6" w:rsidRDefault="003D46D6" w:rsidP="003D46D6">
      <w:pPr>
        <w:pStyle w:val="TdocText"/>
      </w:pPr>
      <w:r>
        <w:t xml:space="preserve">where an example correspondence between the index </w:t>
      </w:r>
      <w:r w:rsidRPr="00FD7E66">
        <w:rPr>
          <w:position w:val="-6"/>
        </w:rPr>
        <w:object w:dxaOrig="180" w:dyaOrig="220" w14:anchorId="01B8B208">
          <v:shape id="_x0000_i1067" type="#_x0000_t75" style="width:9.2pt;height:11.5pt" o:ole="">
            <v:imagedata r:id="rId88" o:title=""/>
          </v:shape>
          <o:OLEObject Type="Embed" ProgID="Equation.DSMT4" ShapeID="_x0000_i1067" DrawAspect="Content" ObjectID="_1618437074" r:id="rId94"/>
        </w:object>
      </w:r>
      <w:r>
        <w:t xml:space="preserve"> and UE groups is given in </w:t>
      </w:r>
      <w:r w:rsidR="00094A14">
        <w:fldChar w:fldCharType="begin"/>
      </w:r>
      <w:r w:rsidR="00094A14">
        <w:instrText xml:space="preserve"> REF _Ref5366039 \h </w:instrText>
      </w:r>
      <w:r w:rsidR="00094A14">
        <w:fldChar w:fldCharType="separate"/>
      </w:r>
      <w:r w:rsidR="00B92875">
        <w:t xml:space="preserve">Table </w:t>
      </w:r>
      <w:r w:rsidR="00B92875">
        <w:rPr>
          <w:noProof/>
        </w:rPr>
        <w:t>4</w:t>
      </w:r>
      <w:r w:rsidR="00094A14">
        <w:fldChar w:fldCharType="end"/>
      </w:r>
      <w:r>
        <w:t>.</w:t>
      </w:r>
    </w:p>
    <w:p w14:paraId="4640EDD3" w14:textId="35FAC39B" w:rsidR="003D46D6" w:rsidRDefault="003D46D6" w:rsidP="003D46D6">
      <w:pPr>
        <w:pStyle w:val="TdocTableCaption"/>
      </w:pPr>
      <w:bookmarkStart w:id="23" w:name="_Ref5366039"/>
      <w:r>
        <w:t xml:space="preserve">Table </w:t>
      </w:r>
      <w:r>
        <w:rPr>
          <w:noProof/>
        </w:rPr>
        <w:fldChar w:fldCharType="begin"/>
      </w:r>
      <w:r>
        <w:rPr>
          <w:noProof/>
        </w:rPr>
        <w:instrText xml:space="preserve"> SEQ Table \* ARABIC </w:instrText>
      </w:r>
      <w:r>
        <w:rPr>
          <w:noProof/>
        </w:rPr>
        <w:fldChar w:fldCharType="separate"/>
      </w:r>
      <w:r w:rsidR="00B92875">
        <w:rPr>
          <w:noProof/>
        </w:rPr>
        <w:t>4</w:t>
      </w:r>
      <w:r>
        <w:rPr>
          <w:noProof/>
        </w:rPr>
        <w:fldChar w:fldCharType="end"/>
      </w:r>
      <w:bookmarkEnd w:id="23"/>
      <w:r>
        <w:t>.</w:t>
      </w:r>
    </w:p>
    <w:tbl>
      <w:tblPr>
        <w:tblStyle w:val="TableGrid"/>
        <w:tblW w:w="0" w:type="auto"/>
        <w:tblInd w:w="3256" w:type="dxa"/>
        <w:tblLook w:val="04A0" w:firstRow="1" w:lastRow="0" w:firstColumn="1" w:lastColumn="0" w:noHBand="0" w:noVBand="1"/>
      </w:tblPr>
      <w:tblGrid>
        <w:gridCol w:w="1901"/>
        <w:gridCol w:w="1902"/>
      </w:tblGrid>
      <w:tr w:rsidR="003D46D6" w14:paraId="55E37D56" w14:textId="77777777" w:rsidTr="00C23669">
        <w:tc>
          <w:tcPr>
            <w:tcW w:w="1901" w:type="dxa"/>
            <w:shd w:val="clear" w:color="auto" w:fill="D0CECE" w:themeFill="background2" w:themeFillShade="E6"/>
          </w:tcPr>
          <w:p w14:paraId="43F0953D" w14:textId="77777777" w:rsidR="003D46D6" w:rsidRDefault="003D46D6" w:rsidP="00C23669">
            <w:pPr>
              <w:pStyle w:val="TdocTableCap"/>
              <w:jc w:val="center"/>
            </w:pPr>
            <w:r>
              <w:t xml:space="preserve">UE group index, </w:t>
            </w:r>
            <w:r w:rsidRPr="00FD7E66">
              <w:rPr>
                <w:position w:val="-6"/>
              </w:rPr>
              <w:object w:dxaOrig="180" w:dyaOrig="220" w14:anchorId="25927BC7">
                <v:shape id="_x0000_i1068" type="#_x0000_t75" style="width:9.2pt;height:11.5pt" o:ole="">
                  <v:imagedata r:id="rId88" o:title=""/>
                </v:shape>
                <o:OLEObject Type="Embed" ProgID="Equation.DSMT4" ShapeID="_x0000_i1068" DrawAspect="Content" ObjectID="_1618437075" r:id="rId95"/>
              </w:object>
            </w:r>
          </w:p>
        </w:tc>
        <w:tc>
          <w:tcPr>
            <w:tcW w:w="1902" w:type="dxa"/>
            <w:shd w:val="clear" w:color="auto" w:fill="D0CECE" w:themeFill="background2" w:themeFillShade="E6"/>
          </w:tcPr>
          <w:p w14:paraId="7F9A19FA" w14:textId="77777777" w:rsidR="003D46D6" w:rsidRDefault="003D46D6" w:rsidP="00C23669">
            <w:pPr>
              <w:pStyle w:val="TdocTableCap"/>
              <w:jc w:val="center"/>
            </w:pPr>
            <w:r>
              <w:t>UE group</w:t>
            </w:r>
          </w:p>
        </w:tc>
      </w:tr>
      <w:tr w:rsidR="003D46D6" w14:paraId="61CEA9DD" w14:textId="77777777" w:rsidTr="00C23669">
        <w:tc>
          <w:tcPr>
            <w:tcW w:w="1901" w:type="dxa"/>
          </w:tcPr>
          <w:p w14:paraId="134C2D47" w14:textId="77777777" w:rsidR="003D46D6" w:rsidRDefault="003D46D6" w:rsidP="00C23669">
            <w:pPr>
              <w:pStyle w:val="TdocTableContent"/>
              <w:jc w:val="center"/>
            </w:pPr>
            <w:r>
              <w:lastRenderedPageBreak/>
              <w:t>0</w:t>
            </w:r>
          </w:p>
        </w:tc>
        <w:tc>
          <w:tcPr>
            <w:tcW w:w="1902" w:type="dxa"/>
          </w:tcPr>
          <w:p w14:paraId="6C71B8E2" w14:textId="77777777" w:rsidR="003D46D6" w:rsidRDefault="003D46D6" w:rsidP="00C23669">
            <w:pPr>
              <w:pStyle w:val="TdocTableContent"/>
              <w:jc w:val="center"/>
            </w:pPr>
            <w:r>
              <w:t>Legacy Rel-15/ common group</w:t>
            </w:r>
          </w:p>
        </w:tc>
      </w:tr>
      <w:tr w:rsidR="003D46D6" w14:paraId="72B8235A" w14:textId="77777777" w:rsidTr="00C23669">
        <w:tc>
          <w:tcPr>
            <w:tcW w:w="1901" w:type="dxa"/>
          </w:tcPr>
          <w:p w14:paraId="5057758D" w14:textId="77777777" w:rsidR="003D46D6" w:rsidRDefault="003D46D6" w:rsidP="00C23669">
            <w:pPr>
              <w:pStyle w:val="TdocTableContent"/>
              <w:jc w:val="center"/>
            </w:pPr>
            <w:r>
              <w:t>1</w:t>
            </w:r>
          </w:p>
        </w:tc>
        <w:tc>
          <w:tcPr>
            <w:tcW w:w="1902" w:type="dxa"/>
          </w:tcPr>
          <w:p w14:paraId="46457C23" w14:textId="77777777" w:rsidR="003D46D6" w:rsidRDefault="003D46D6" w:rsidP="00C23669">
            <w:pPr>
              <w:pStyle w:val="TdocTableContent"/>
              <w:jc w:val="center"/>
            </w:pPr>
            <w:r>
              <w:t>UE group-0</w:t>
            </w:r>
          </w:p>
        </w:tc>
      </w:tr>
      <w:tr w:rsidR="003D46D6" w14:paraId="049F9EE0" w14:textId="77777777" w:rsidTr="00C23669">
        <w:tc>
          <w:tcPr>
            <w:tcW w:w="1901" w:type="dxa"/>
          </w:tcPr>
          <w:p w14:paraId="1D312F54" w14:textId="77777777" w:rsidR="003D46D6" w:rsidRDefault="003D46D6" w:rsidP="00C23669">
            <w:pPr>
              <w:pStyle w:val="TdocTableContent"/>
              <w:jc w:val="center"/>
            </w:pPr>
            <w:r>
              <w:t>2</w:t>
            </w:r>
          </w:p>
        </w:tc>
        <w:tc>
          <w:tcPr>
            <w:tcW w:w="1902" w:type="dxa"/>
          </w:tcPr>
          <w:p w14:paraId="02F17845" w14:textId="77777777" w:rsidR="003D46D6" w:rsidRDefault="003D46D6" w:rsidP="00C23669">
            <w:pPr>
              <w:pStyle w:val="TdocTableContent"/>
              <w:jc w:val="center"/>
            </w:pPr>
            <w:r>
              <w:t>UE group-1</w:t>
            </w:r>
          </w:p>
        </w:tc>
      </w:tr>
    </w:tbl>
    <w:p w14:paraId="7A9EA681" w14:textId="6EB7ECEC" w:rsidR="003D46D6" w:rsidRDefault="003D46D6" w:rsidP="003D46D6">
      <w:pPr>
        <w:pStyle w:val="TdocText"/>
      </w:pPr>
      <w:r>
        <w:t xml:space="preserve">The procedure is illustrated in </w:t>
      </w:r>
      <w:r w:rsidR="00094A14">
        <w:fldChar w:fldCharType="begin"/>
      </w:r>
      <w:r w:rsidR="00094A14">
        <w:instrText xml:space="preserve"> REF _Ref5366052 \h </w:instrText>
      </w:r>
      <w:r w:rsidR="00094A14">
        <w:fldChar w:fldCharType="separate"/>
      </w:r>
      <w:r w:rsidR="00B92875">
        <w:t xml:space="preserve">Figure </w:t>
      </w:r>
      <w:r w:rsidR="00B92875">
        <w:rPr>
          <w:noProof/>
        </w:rPr>
        <w:t>3</w:t>
      </w:r>
      <w:r w:rsidR="00094A14">
        <w:fldChar w:fldCharType="end"/>
      </w:r>
      <w:r>
        <w:t>.</w:t>
      </w:r>
    </w:p>
    <w:p w14:paraId="33669D5D" w14:textId="77777777" w:rsidR="003D46D6" w:rsidRDefault="003D46D6" w:rsidP="003D46D6">
      <w:pPr>
        <w:pStyle w:val="TdocFigure"/>
        <w:keepNext/>
      </w:pPr>
      <w:r>
        <w:object w:dxaOrig="4200" w:dyaOrig="4340" w14:anchorId="7FA354D6">
          <v:shape id="_x0000_i1069" type="#_x0000_t75" style="width:191.8pt;height:197.55pt;mso-position-horizontal:absolute;mso-position-vertical:absolute" o:ole="">
            <v:imagedata r:id="rId96" o:title=""/>
          </v:shape>
          <o:OLEObject Type="Embed" ProgID="Visio.Drawing.15" ShapeID="_x0000_i1069" DrawAspect="Content" ObjectID="_1618437076" r:id="rId97"/>
        </w:object>
      </w:r>
    </w:p>
    <w:p w14:paraId="02AFC2BE" w14:textId="2108FDEA" w:rsidR="003D46D6" w:rsidRDefault="003D46D6" w:rsidP="003D46D6">
      <w:pPr>
        <w:pStyle w:val="TdocFigureCaption"/>
      </w:pPr>
      <w:bookmarkStart w:id="24" w:name="_Ref5366052"/>
      <w:r>
        <w:t xml:space="preserve">Figure </w:t>
      </w:r>
      <w:r>
        <w:rPr>
          <w:noProof/>
        </w:rPr>
        <w:fldChar w:fldCharType="begin"/>
      </w:r>
      <w:r>
        <w:rPr>
          <w:noProof/>
        </w:rPr>
        <w:instrText xml:space="preserve"> SEQ Figure \* ARABIC </w:instrText>
      </w:r>
      <w:r>
        <w:rPr>
          <w:noProof/>
        </w:rPr>
        <w:fldChar w:fldCharType="separate"/>
      </w:r>
      <w:r w:rsidR="00B92875">
        <w:rPr>
          <w:noProof/>
        </w:rPr>
        <w:t>3</w:t>
      </w:r>
      <w:r>
        <w:rPr>
          <w:noProof/>
        </w:rPr>
        <w:fldChar w:fldCharType="end"/>
      </w:r>
      <w:bookmarkEnd w:id="24"/>
      <w:r>
        <w:t xml:space="preserve">. </w:t>
      </w:r>
      <w:r w:rsidRPr="002D6CE4">
        <w:t>Illustration of WUS sequence generation in Rel-16</w:t>
      </w:r>
      <w:r w:rsidR="00094A14">
        <w:t xml:space="preserve"> based on shifting the RE-level scrambling</w:t>
      </w:r>
      <w:r w:rsidRPr="002D6CE4">
        <w:t>.</w:t>
      </w:r>
    </w:p>
    <w:p w14:paraId="2BCEB137" w14:textId="77777777" w:rsidR="003D46D6" w:rsidRDefault="003D46D6" w:rsidP="003D46D6">
      <w:pPr>
        <w:pStyle w:val="TdocText"/>
      </w:pPr>
      <w:r>
        <w:t>It can be easily seen that for the group of legacy Rel-15 UEs (</w:t>
      </w:r>
      <w:r w:rsidRPr="0017253C">
        <w:rPr>
          <w:position w:val="-6"/>
        </w:rPr>
        <w:object w:dxaOrig="540" w:dyaOrig="279" w14:anchorId="37FA9AE4">
          <v:shape id="_x0000_i1070" type="#_x0000_t75" style="width:27.05pt;height:13.8pt" o:ole="">
            <v:imagedata r:id="rId98" o:title=""/>
          </v:shape>
          <o:OLEObject Type="Embed" ProgID="Equation.DSMT4" ShapeID="_x0000_i1070" DrawAspect="Content" ObjectID="_1618437077" r:id="rId99"/>
        </w:object>
      </w:r>
      <w:r>
        <w:t>), the proposed procedure produces the same WUS as in Rel-15, thus, providing the required backwards compatibility.</w:t>
      </w:r>
    </w:p>
    <w:p w14:paraId="4079652A" w14:textId="77777777" w:rsidR="00E771A6" w:rsidRPr="00700053" w:rsidRDefault="00E771A6" w:rsidP="00700053">
      <w:pPr>
        <w:rPr>
          <w:i/>
        </w:rPr>
      </w:pPr>
    </w:p>
    <w:sectPr w:rsidR="00E771A6" w:rsidRPr="00700053" w:rsidSect="00D86B37">
      <w:headerReference w:type="even" r:id="rId100"/>
      <w:footerReference w:type="even" r:id="rId101"/>
      <w:footerReference w:type="default" r:id="rId10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97FAF" w14:textId="77777777" w:rsidR="00873845" w:rsidRDefault="00873845">
      <w:r>
        <w:separator/>
      </w:r>
    </w:p>
  </w:endnote>
  <w:endnote w:type="continuationSeparator" w:id="0">
    <w:p w14:paraId="151847C8" w14:textId="77777777" w:rsidR="00873845" w:rsidRDefault="0087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62327F" w:rsidRDefault="006232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FA5865E" w14:textId="77777777" w:rsidR="0062327F" w:rsidRDefault="0062327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62327F" w:rsidRDefault="006232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79F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79F3">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B3A16" w14:textId="77777777" w:rsidR="00873845" w:rsidRDefault="00873845">
      <w:r>
        <w:separator/>
      </w:r>
    </w:p>
  </w:footnote>
  <w:footnote w:type="continuationSeparator" w:id="0">
    <w:p w14:paraId="14D8F64D" w14:textId="77777777" w:rsidR="00873845" w:rsidRDefault="00873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62327F" w:rsidRDefault="0062327F">
    <w:r>
      <w:t xml:space="preserve">Page </w:t>
    </w:r>
    <w:r>
      <w:fldChar w:fldCharType="begin"/>
    </w:r>
    <w:r>
      <w:instrText>PAGE</w:instrText>
    </w:r>
    <w:r>
      <w:fldChar w:fldCharType="separate"/>
    </w:r>
    <w:r>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0346CAA"/>
    <w:multiLevelType w:val="hybridMultilevel"/>
    <w:tmpl w:val="BD002F40"/>
    <w:lvl w:ilvl="0" w:tplc="03B0D9AE">
      <w:start w:val="1"/>
      <w:numFmt w:val="bullet"/>
      <w:pStyle w:val="Proposal"/>
      <w:lvlText w:val=""/>
      <w:lvlJc w:val="left"/>
      <w:pPr>
        <w:ind w:left="649" w:hanging="360"/>
      </w:pPr>
      <w:rPr>
        <w:rFonts w:ascii="Symbol" w:hAnsi="Symbol" w:hint="default"/>
      </w:rPr>
    </w:lvl>
    <w:lvl w:ilvl="1" w:tplc="04090003">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5"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E55738"/>
    <w:multiLevelType w:val="hybridMultilevel"/>
    <w:tmpl w:val="A2D6556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5"/>
  </w:num>
  <w:num w:numId="5">
    <w:abstractNumId w:val="6"/>
  </w:num>
  <w:num w:numId="6">
    <w:abstractNumId w:val="1"/>
  </w:num>
  <w:num w:numId="7">
    <w:abstractNumId w:val="13"/>
  </w:num>
  <w:num w:numId="8">
    <w:abstractNumId w:val="11"/>
  </w:num>
  <w:num w:numId="9">
    <w:abstractNumId w:val="8"/>
  </w:num>
  <w:num w:numId="10">
    <w:abstractNumId w:val="16"/>
  </w:num>
  <w:num w:numId="11">
    <w:abstractNumId w:val="9"/>
  </w:num>
  <w:num w:numId="12">
    <w:abstractNumId w:val="9"/>
  </w:num>
  <w:num w:numId="13">
    <w:abstractNumId w:val="10"/>
  </w:num>
  <w:num w:numId="14">
    <w:abstractNumId w:val="5"/>
  </w:num>
  <w:num w:numId="15">
    <w:abstractNumId w:val="7"/>
  </w:num>
  <w:num w:numId="16">
    <w:abstractNumId w:val="1"/>
  </w:num>
  <w:num w:numId="17">
    <w:abstractNumId w:val="1"/>
  </w:num>
  <w:num w:numId="18">
    <w:abstractNumId w:val="12"/>
  </w:num>
  <w:num w:numId="19">
    <w:abstractNumId w:val="1"/>
  </w:num>
  <w:num w:numId="20">
    <w:abstractNumId w:val="17"/>
  </w:num>
  <w:num w:numId="21">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07F37"/>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539"/>
    <w:rsid w:val="00030766"/>
    <w:rsid w:val="00030ED5"/>
    <w:rsid w:val="00030F36"/>
    <w:rsid w:val="00030F74"/>
    <w:rsid w:val="00031242"/>
    <w:rsid w:val="00031EDD"/>
    <w:rsid w:val="0003202C"/>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94"/>
    <w:rsid w:val="000377E3"/>
    <w:rsid w:val="00037910"/>
    <w:rsid w:val="00037A21"/>
    <w:rsid w:val="00037F00"/>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591"/>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39"/>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A59"/>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1F31"/>
    <w:rsid w:val="000722D2"/>
    <w:rsid w:val="000722E1"/>
    <w:rsid w:val="00072E75"/>
    <w:rsid w:val="00072EFA"/>
    <w:rsid w:val="0007311D"/>
    <w:rsid w:val="00073570"/>
    <w:rsid w:val="00073785"/>
    <w:rsid w:val="00073E3D"/>
    <w:rsid w:val="00074375"/>
    <w:rsid w:val="000743A0"/>
    <w:rsid w:val="00074BF5"/>
    <w:rsid w:val="000751D5"/>
    <w:rsid w:val="000752CD"/>
    <w:rsid w:val="00075680"/>
    <w:rsid w:val="00075815"/>
    <w:rsid w:val="0007590A"/>
    <w:rsid w:val="00075999"/>
    <w:rsid w:val="00077579"/>
    <w:rsid w:val="000805B2"/>
    <w:rsid w:val="00080786"/>
    <w:rsid w:val="00080D74"/>
    <w:rsid w:val="000813A2"/>
    <w:rsid w:val="00082152"/>
    <w:rsid w:val="00082435"/>
    <w:rsid w:val="000826FC"/>
    <w:rsid w:val="000826FF"/>
    <w:rsid w:val="00082A49"/>
    <w:rsid w:val="00082EB7"/>
    <w:rsid w:val="00083322"/>
    <w:rsid w:val="00083788"/>
    <w:rsid w:val="000839C6"/>
    <w:rsid w:val="00084255"/>
    <w:rsid w:val="00085239"/>
    <w:rsid w:val="000862BA"/>
    <w:rsid w:val="00086840"/>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4A14"/>
    <w:rsid w:val="00094D19"/>
    <w:rsid w:val="00095671"/>
    <w:rsid w:val="00095920"/>
    <w:rsid w:val="00095F47"/>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6ECB"/>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35A"/>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785"/>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C9A"/>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5FA"/>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3D3"/>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6E95"/>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5B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1AD"/>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944"/>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A09"/>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DA3"/>
    <w:rsid w:val="00183E8B"/>
    <w:rsid w:val="00183F11"/>
    <w:rsid w:val="001840F5"/>
    <w:rsid w:val="0018454E"/>
    <w:rsid w:val="00184DAB"/>
    <w:rsid w:val="00184F51"/>
    <w:rsid w:val="00185257"/>
    <w:rsid w:val="00185C02"/>
    <w:rsid w:val="00185E59"/>
    <w:rsid w:val="00185F10"/>
    <w:rsid w:val="00186072"/>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17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8D2"/>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39B"/>
    <w:rsid w:val="001B6488"/>
    <w:rsid w:val="001B66F6"/>
    <w:rsid w:val="001B6C77"/>
    <w:rsid w:val="001B6F62"/>
    <w:rsid w:val="001B70CF"/>
    <w:rsid w:val="001B716B"/>
    <w:rsid w:val="001B748B"/>
    <w:rsid w:val="001B7E13"/>
    <w:rsid w:val="001C002C"/>
    <w:rsid w:val="001C0085"/>
    <w:rsid w:val="001C04E1"/>
    <w:rsid w:val="001C063F"/>
    <w:rsid w:val="001C06E2"/>
    <w:rsid w:val="001C0883"/>
    <w:rsid w:val="001C16A9"/>
    <w:rsid w:val="001C1E53"/>
    <w:rsid w:val="001C1EE0"/>
    <w:rsid w:val="001C211D"/>
    <w:rsid w:val="001C2E60"/>
    <w:rsid w:val="001C2F22"/>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9BC"/>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016"/>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68C"/>
    <w:rsid w:val="00210956"/>
    <w:rsid w:val="002109D5"/>
    <w:rsid w:val="00210A2E"/>
    <w:rsid w:val="00210C84"/>
    <w:rsid w:val="00210C91"/>
    <w:rsid w:val="00210F42"/>
    <w:rsid w:val="00211042"/>
    <w:rsid w:val="002112F9"/>
    <w:rsid w:val="00211345"/>
    <w:rsid w:val="00211390"/>
    <w:rsid w:val="002114FA"/>
    <w:rsid w:val="00211993"/>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38E"/>
    <w:rsid w:val="0024174E"/>
    <w:rsid w:val="00241C7B"/>
    <w:rsid w:val="00241FA4"/>
    <w:rsid w:val="002421F2"/>
    <w:rsid w:val="00242B2A"/>
    <w:rsid w:val="00242CAE"/>
    <w:rsid w:val="00243ACD"/>
    <w:rsid w:val="00243DCC"/>
    <w:rsid w:val="00244000"/>
    <w:rsid w:val="002443C2"/>
    <w:rsid w:val="00244606"/>
    <w:rsid w:val="00244924"/>
    <w:rsid w:val="00244AC2"/>
    <w:rsid w:val="0024534B"/>
    <w:rsid w:val="00245492"/>
    <w:rsid w:val="00245A41"/>
    <w:rsid w:val="00245B70"/>
    <w:rsid w:val="00245D7D"/>
    <w:rsid w:val="00245E39"/>
    <w:rsid w:val="00245FBA"/>
    <w:rsid w:val="0024679F"/>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E27"/>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5CF"/>
    <w:rsid w:val="0026468A"/>
    <w:rsid w:val="00264C28"/>
    <w:rsid w:val="0026509A"/>
    <w:rsid w:val="002651FC"/>
    <w:rsid w:val="00265701"/>
    <w:rsid w:val="00265E9A"/>
    <w:rsid w:val="00266210"/>
    <w:rsid w:val="0026633E"/>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3B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A57"/>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38F"/>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B64"/>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088"/>
    <w:rsid w:val="003003AD"/>
    <w:rsid w:val="003004CC"/>
    <w:rsid w:val="00301034"/>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1A8"/>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9D"/>
    <w:rsid w:val="003204D4"/>
    <w:rsid w:val="00320B1B"/>
    <w:rsid w:val="00320BF2"/>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346"/>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052"/>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7E9"/>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5D5"/>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37C"/>
    <w:rsid w:val="003567C9"/>
    <w:rsid w:val="00356BE8"/>
    <w:rsid w:val="00356CEC"/>
    <w:rsid w:val="00356E66"/>
    <w:rsid w:val="003572DE"/>
    <w:rsid w:val="00357659"/>
    <w:rsid w:val="00357712"/>
    <w:rsid w:val="00357C53"/>
    <w:rsid w:val="00357D8A"/>
    <w:rsid w:val="00357F31"/>
    <w:rsid w:val="0036012E"/>
    <w:rsid w:val="00360253"/>
    <w:rsid w:val="003604DB"/>
    <w:rsid w:val="0036056F"/>
    <w:rsid w:val="003617B5"/>
    <w:rsid w:val="0036185C"/>
    <w:rsid w:val="0036262C"/>
    <w:rsid w:val="00362C5A"/>
    <w:rsid w:val="00363A57"/>
    <w:rsid w:val="00364A63"/>
    <w:rsid w:val="00365044"/>
    <w:rsid w:val="00366D26"/>
    <w:rsid w:val="00367D2F"/>
    <w:rsid w:val="003700A7"/>
    <w:rsid w:val="00370285"/>
    <w:rsid w:val="003704EE"/>
    <w:rsid w:val="00370880"/>
    <w:rsid w:val="00370B39"/>
    <w:rsid w:val="00370EFD"/>
    <w:rsid w:val="00371137"/>
    <w:rsid w:val="00371766"/>
    <w:rsid w:val="00371831"/>
    <w:rsid w:val="003719F5"/>
    <w:rsid w:val="00371BC5"/>
    <w:rsid w:val="00372029"/>
    <w:rsid w:val="003724A1"/>
    <w:rsid w:val="003726AC"/>
    <w:rsid w:val="00372A6B"/>
    <w:rsid w:val="00372FD7"/>
    <w:rsid w:val="00373E10"/>
    <w:rsid w:val="00373F2C"/>
    <w:rsid w:val="0037406C"/>
    <w:rsid w:val="003741D2"/>
    <w:rsid w:val="0037431C"/>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B3"/>
    <w:rsid w:val="003B1CC2"/>
    <w:rsid w:val="003B21B1"/>
    <w:rsid w:val="003B2B79"/>
    <w:rsid w:val="003B4482"/>
    <w:rsid w:val="003B46CB"/>
    <w:rsid w:val="003B4FC5"/>
    <w:rsid w:val="003B570F"/>
    <w:rsid w:val="003B5B57"/>
    <w:rsid w:val="003B5B7E"/>
    <w:rsid w:val="003B5E30"/>
    <w:rsid w:val="003B6194"/>
    <w:rsid w:val="003B6A4A"/>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4DA"/>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46D6"/>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378"/>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8A7"/>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06FB"/>
    <w:rsid w:val="00411133"/>
    <w:rsid w:val="00411230"/>
    <w:rsid w:val="004112F1"/>
    <w:rsid w:val="004113EB"/>
    <w:rsid w:val="004118C9"/>
    <w:rsid w:val="0041195D"/>
    <w:rsid w:val="00412697"/>
    <w:rsid w:val="00412F8D"/>
    <w:rsid w:val="00413369"/>
    <w:rsid w:val="00413451"/>
    <w:rsid w:val="00413C42"/>
    <w:rsid w:val="00413CA3"/>
    <w:rsid w:val="00414129"/>
    <w:rsid w:val="004145AE"/>
    <w:rsid w:val="0041577E"/>
    <w:rsid w:val="004157F6"/>
    <w:rsid w:val="004159D3"/>
    <w:rsid w:val="00415A14"/>
    <w:rsid w:val="0041616C"/>
    <w:rsid w:val="004163B3"/>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496C"/>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2C1"/>
    <w:rsid w:val="0044131C"/>
    <w:rsid w:val="0044142F"/>
    <w:rsid w:val="004417B9"/>
    <w:rsid w:val="0044187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15"/>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7D1"/>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36C"/>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6D3"/>
    <w:rsid w:val="0047574D"/>
    <w:rsid w:val="00475A1B"/>
    <w:rsid w:val="00475D3E"/>
    <w:rsid w:val="00475E50"/>
    <w:rsid w:val="00475F17"/>
    <w:rsid w:val="00475F90"/>
    <w:rsid w:val="004763F0"/>
    <w:rsid w:val="0047643E"/>
    <w:rsid w:val="00476D8B"/>
    <w:rsid w:val="00476EAE"/>
    <w:rsid w:val="004774C5"/>
    <w:rsid w:val="00477550"/>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3A"/>
    <w:rsid w:val="004862DE"/>
    <w:rsid w:val="00486CF2"/>
    <w:rsid w:val="00486EC5"/>
    <w:rsid w:val="0048708D"/>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5855"/>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6E8B"/>
    <w:rsid w:val="004A705C"/>
    <w:rsid w:val="004A710F"/>
    <w:rsid w:val="004A717D"/>
    <w:rsid w:val="004A7276"/>
    <w:rsid w:val="004A7EE7"/>
    <w:rsid w:val="004A7FB0"/>
    <w:rsid w:val="004B028A"/>
    <w:rsid w:val="004B0706"/>
    <w:rsid w:val="004B0787"/>
    <w:rsid w:val="004B09E9"/>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C1C"/>
    <w:rsid w:val="004D0E42"/>
    <w:rsid w:val="004D14EC"/>
    <w:rsid w:val="004D171F"/>
    <w:rsid w:val="004D1A33"/>
    <w:rsid w:val="004D1C3F"/>
    <w:rsid w:val="004D1D64"/>
    <w:rsid w:val="004D2474"/>
    <w:rsid w:val="004D24F2"/>
    <w:rsid w:val="004D27C4"/>
    <w:rsid w:val="004D2E1A"/>
    <w:rsid w:val="004D2E4C"/>
    <w:rsid w:val="004D2E57"/>
    <w:rsid w:val="004D2E91"/>
    <w:rsid w:val="004D3251"/>
    <w:rsid w:val="004D4968"/>
    <w:rsid w:val="004D4977"/>
    <w:rsid w:val="004D4994"/>
    <w:rsid w:val="004D4A8A"/>
    <w:rsid w:val="004D4BEA"/>
    <w:rsid w:val="004D50CC"/>
    <w:rsid w:val="004D58D1"/>
    <w:rsid w:val="004D5F02"/>
    <w:rsid w:val="004D6040"/>
    <w:rsid w:val="004D68C0"/>
    <w:rsid w:val="004D6E0A"/>
    <w:rsid w:val="004D710C"/>
    <w:rsid w:val="004D715F"/>
    <w:rsid w:val="004D7297"/>
    <w:rsid w:val="004D7320"/>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48E0"/>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2AD"/>
    <w:rsid w:val="005074C9"/>
    <w:rsid w:val="00507754"/>
    <w:rsid w:val="005079A2"/>
    <w:rsid w:val="00507CAF"/>
    <w:rsid w:val="00510374"/>
    <w:rsid w:val="00510444"/>
    <w:rsid w:val="00510B25"/>
    <w:rsid w:val="0051194E"/>
    <w:rsid w:val="00511E67"/>
    <w:rsid w:val="00512605"/>
    <w:rsid w:val="00512747"/>
    <w:rsid w:val="0051292E"/>
    <w:rsid w:val="00513F8F"/>
    <w:rsid w:val="00514455"/>
    <w:rsid w:val="005147E7"/>
    <w:rsid w:val="00514882"/>
    <w:rsid w:val="005149A2"/>
    <w:rsid w:val="00514CEE"/>
    <w:rsid w:val="005150E4"/>
    <w:rsid w:val="00515179"/>
    <w:rsid w:val="0051565E"/>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994"/>
    <w:rsid w:val="00524AD1"/>
    <w:rsid w:val="00524E6A"/>
    <w:rsid w:val="005251DA"/>
    <w:rsid w:val="00525407"/>
    <w:rsid w:val="00525F16"/>
    <w:rsid w:val="00525F71"/>
    <w:rsid w:val="00526270"/>
    <w:rsid w:val="005269C2"/>
    <w:rsid w:val="00526C8A"/>
    <w:rsid w:val="00527489"/>
    <w:rsid w:val="0053012B"/>
    <w:rsid w:val="0053058D"/>
    <w:rsid w:val="00530AFD"/>
    <w:rsid w:val="00530EEA"/>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97E"/>
    <w:rsid w:val="00536AEE"/>
    <w:rsid w:val="00536E8E"/>
    <w:rsid w:val="00537993"/>
    <w:rsid w:val="00537BE9"/>
    <w:rsid w:val="00537E22"/>
    <w:rsid w:val="00540147"/>
    <w:rsid w:val="00540EB6"/>
    <w:rsid w:val="005417A0"/>
    <w:rsid w:val="00541E2B"/>
    <w:rsid w:val="005420E0"/>
    <w:rsid w:val="00543181"/>
    <w:rsid w:val="005436D7"/>
    <w:rsid w:val="00543703"/>
    <w:rsid w:val="00543A66"/>
    <w:rsid w:val="00543A83"/>
    <w:rsid w:val="00544220"/>
    <w:rsid w:val="00544257"/>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6F58"/>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9BA"/>
    <w:rsid w:val="00574B86"/>
    <w:rsid w:val="005750D4"/>
    <w:rsid w:val="005753DB"/>
    <w:rsid w:val="005758BA"/>
    <w:rsid w:val="005758D2"/>
    <w:rsid w:val="00575E27"/>
    <w:rsid w:val="00575EC1"/>
    <w:rsid w:val="0057685E"/>
    <w:rsid w:val="00576A37"/>
    <w:rsid w:val="00576FC7"/>
    <w:rsid w:val="00577368"/>
    <w:rsid w:val="00577740"/>
    <w:rsid w:val="005777AC"/>
    <w:rsid w:val="00577EB4"/>
    <w:rsid w:val="00577F3D"/>
    <w:rsid w:val="005808B3"/>
    <w:rsid w:val="005808E6"/>
    <w:rsid w:val="005809EB"/>
    <w:rsid w:val="00580E45"/>
    <w:rsid w:val="005815D2"/>
    <w:rsid w:val="005818D4"/>
    <w:rsid w:val="005819D7"/>
    <w:rsid w:val="00581F00"/>
    <w:rsid w:val="00581F40"/>
    <w:rsid w:val="00582143"/>
    <w:rsid w:val="00582616"/>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4C7"/>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40D5"/>
    <w:rsid w:val="005A4999"/>
    <w:rsid w:val="005A4E38"/>
    <w:rsid w:val="005A50CE"/>
    <w:rsid w:val="005A5313"/>
    <w:rsid w:val="005A588D"/>
    <w:rsid w:val="005A59CF"/>
    <w:rsid w:val="005A6A3A"/>
    <w:rsid w:val="005A6FA1"/>
    <w:rsid w:val="005A7555"/>
    <w:rsid w:val="005A7826"/>
    <w:rsid w:val="005A7F72"/>
    <w:rsid w:val="005B032F"/>
    <w:rsid w:val="005B095C"/>
    <w:rsid w:val="005B0A63"/>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8C0"/>
    <w:rsid w:val="005B7AB0"/>
    <w:rsid w:val="005C0625"/>
    <w:rsid w:val="005C0904"/>
    <w:rsid w:val="005C09BF"/>
    <w:rsid w:val="005C0D61"/>
    <w:rsid w:val="005C0DDE"/>
    <w:rsid w:val="005C11DA"/>
    <w:rsid w:val="005C1225"/>
    <w:rsid w:val="005C132F"/>
    <w:rsid w:val="005C14CC"/>
    <w:rsid w:val="005C1752"/>
    <w:rsid w:val="005C2144"/>
    <w:rsid w:val="005C2BD9"/>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1F81"/>
    <w:rsid w:val="005D20FC"/>
    <w:rsid w:val="005D22C6"/>
    <w:rsid w:val="005D241F"/>
    <w:rsid w:val="005D24A2"/>
    <w:rsid w:val="005D26D7"/>
    <w:rsid w:val="005D2A49"/>
    <w:rsid w:val="005D2B7E"/>
    <w:rsid w:val="005D2EE8"/>
    <w:rsid w:val="005D31D3"/>
    <w:rsid w:val="005D3F4C"/>
    <w:rsid w:val="005D4330"/>
    <w:rsid w:val="005D4764"/>
    <w:rsid w:val="005D5499"/>
    <w:rsid w:val="005D54D6"/>
    <w:rsid w:val="005D576B"/>
    <w:rsid w:val="005D594D"/>
    <w:rsid w:val="005D5A83"/>
    <w:rsid w:val="005D5E46"/>
    <w:rsid w:val="005D609E"/>
    <w:rsid w:val="005D64A5"/>
    <w:rsid w:val="005D6929"/>
    <w:rsid w:val="005D6B30"/>
    <w:rsid w:val="005D6E1C"/>
    <w:rsid w:val="005D6F37"/>
    <w:rsid w:val="005D75D7"/>
    <w:rsid w:val="005D7741"/>
    <w:rsid w:val="005D7E04"/>
    <w:rsid w:val="005E0082"/>
    <w:rsid w:val="005E033D"/>
    <w:rsid w:val="005E06E9"/>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5C2D"/>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50AF"/>
    <w:rsid w:val="005F61FB"/>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04C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27F"/>
    <w:rsid w:val="00623427"/>
    <w:rsid w:val="0062357D"/>
    <w:rsid w:val="00623EF3"/>
    <w:rsid w:val="0062419E"/>
    <w:rsid w:val="00624AFA"/>
    <w:rsid w:val="00624C6E"/>
    <w:rsid w:val="00624FB3"/>
    <w:rsid w:val="00625B24"/>
    <w:rsid w:val="0062657C"/>
    <w:rsid w:val="00626C25"/>
    <w:rsid w:val="00626E64"/>
    <w:rsid w:val="0062738C"/>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4C11"/>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620"/>
    <w:rsid w:val="00642D10"/>
    <w:rsid w:val="00643769"/>
    <w:rsid w:val="006437A9"/>
    <w:rsid w:val="00643973"/>
    <w:rsid w:val="00644102"/>
    <w:rsid w:val="00644200"/>
    <w:rsid w:val="0064428B"/>
    <w:rsid w:val="00644511"/>
    <w:rsid w:val="0064486C"/>
    <w:rsid w:val="00644BA9"/>
    <w:rsid w:val="00644BDC"/>
    <w:rsid w:val="00644E60"/>
    <w:rsid w:val="006453C7"/>
    <w:rsid w:val="0064576B"/>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B8F"/>
    <w:rsid w:val="00657F67"/>
    <w:rsid w:val="006601F9"/>
    <w:rsid w:val="006602D1"/>
    <w:rsid w:val="006605DC"/>
    <w:rsid w:val="0066159B"/>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67C2E"/>
    <w:rsid w:val="00670119"/>
    <w:rsid w:val="006704BF"/>
    <w:rsid w:val="00670AD6"/>
    <w:rsid w:val="00670ECD"/>
    <w:rsid w:val="00671C8F"/>
    <w:rsid w:val="00672499"/>
    <w:rsid w:val="00672966"/>
    <w:rsid w:val="006729A2"/>
    <w:rsid w:val="00672D11"/>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DB5"/>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9B6"/>
    <w:rsid w:val="006A7BF2"/>
    <w:rsid w:val="006A7C40"/>
    <w:rsid w:val="006A7C64"/>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56"/>
    <w:rsid w:val="006B21E9"/>
    <w:rsid w:val="006B242D"/>
    <w:rsid w:val="006B2EE6"/>
    <w:rsid w:val="006B393F"/>
    <w:rsid w:val="006B3E55"/>
    <w:rsid w:val="006B3F0E"/>
    <w:rsid w:val="006B4244"/>
    <w:rsid w:val="006B42F9"/>
    <w:rsid w:val="006B4656"/>
    <w:rsid w:val="006B4D4E"/>
    <w:rsid w:val="006B6124"/>
    <w:rsid w:val="006B6AD0"/>
    <w:rsid w:val="006B6BA3"/>
    <w:rsid w:val="006B6BAF"/>
    <w:rsid w:val="006B6BFE"/>
    <w:rsid w:val="006B6C95"/>
    <w:rsid w:val="006B6D1E"/>
    <w:rsid w:val="006B6F2A"/>
    <w:rsid w:val="006B725C"/>
    <w:rsid w:val="006B7864"/>
    <w:rsid w:val="006B789D"/>
    <w:rsid w:val="006C03B2"/>
    <w:rsid w:val="006C09DD"/>
    <w:rsid w:val="006C0A1A"/>
    <w:rsid w:val="006C0F78"/>
    <w:rsid w:val="006C11C0"/>
    <w:rsid w:val="006C1B3F"/>
    <w:rsid w:val="006C375B"/>
    <w:rsid w:val="006C377A"/>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422"/>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163"/>
    <w:rsid w:val="006E22CC"/>
    <w:rsid w:val="006E2AA6"/>
    <w:rsid w:val="006E2F1D"/>
    <w:rsid w:val="006E3D3A"/>
    <w:rsid w:val="006E459B"/>
    <w:rsid w:val="006E4C0F"/>
    <w:rsid w:val="006E512D"/>
    <w:rsid w:val="006E5151"/>
    <w:rsid w:val="006E54EC"/>
    <w:rsid w:val="006E554E"/>
    <w:rsid w:val="006E599B"/>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7AB"/>
    <w:rsid w:val="00712A0F"/>
    <w:rsid w:val="00712C53"/>
    <w:rsid w:val="00712DB4"/>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602E"/>
    <w:rsid w:val="00726281"/>
    <w:rsid w:val="0072665F"/>
    <w:rsid w:val="00726AAE"/>
    <w:rsid w:val="00727E9F"/>
    <w:rsid w:val="00730302"/>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023"/>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4B"/>
    <w:rsid w:val="00743867"/>
    <w:rsid w:val="00744055"/>
    <w:rsid w:val="007446EE"/>
    <w:rsid w:val="00744A17"/>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67A34"/>
    <w:rsid w:val="00770C43"/>
    <w:rsid w:val="00770CEE"/>
    <w:rsid w:val="007718D6"/>
    <w:rsid w:val="0077197D"/>
    <w:rsid w:val="007721AD"/>
    <w:rsid w:val="00772D15"/>
    <w:rsid w:val="00772DC3"/>
    <w:rsid w:val="007733C4"/>
    <w:rsid w:val="00773A61"/>
    <w:rsid w:val="00773D92"/>
    <w:rsid w:val="007743A1"/>
    <w:rsid w:val="007744EF"/>
    <w:rsid w:val="00774770"/>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0AA"/>
    <w:rsid w:val="00783315"/>
    <w:rsid w:val="007833C3"/>
    <w:rsid w:val="00783665"/>
    <w:rsid w:val="007837BE"/>
    <w:rsid w:val="0078380D"/>
    <w:rsid w:val="007841F8"/>
    <w:rsid w:val="007842FE"/>
    <w:rsid w:val="00784702"/>
    <w:rsid w:val="00784A45"/>
    <w:rsid w:val="00784C31"/>
    <w:rsid w:val="00784EA1"/>
    <w:rsid w:val="00784FC7"/>
    <w:rsid w:val="00786181"/>
    <w:rsid w:val="007861D1"/>
    <w:rsid w:val="00786272"/>
    <w:rsid w:val="00786402"/>
    <w:rsid w:val="007864B2"/>
    <w:rsid w:val="007864DF"/>
    <w:rsid w:val="00786620"/>
    <w:rsid w:val="007868B7"/>
    <w:rsid w:val="00786BC0"/>
    <w:rsid w:val="0078756D"/>
    <w:rsid w:val="00787736"/>
    <w:rsid w:val="007878C5"/>
    <w:rsid w:val="00787977"/>
    <w:rsid w:val="00787A53"/>
    <w:rsid w:val="00787A55"/>
    <w:rsid w:val="00787FF1"/>
    <w:rsid w:val="0079082E"/>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CDA"/>
    <w:rsid w:val="00796F91"/>
    <w:rsid w:val="0079775A"/>
    <w:rsid w:val="00797DAA"/>
    <w:rsid w:val="00797FCF"/>
    <w:rsid w:val="007A0616"/>
    <w:rsid w:val="007A089E"/>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8D4"/>
    <w:rsid w:val="007B4937"/>
    <w:rsid w:val="007B5A66"/>
    <w:rsid w:val="007B630D"/>
    <w:rsid w:val="007B697F"/>
    <w:rsid w:val="007C0880"/>
    <w:rsid w:val="007C0BD2"/>
    <w:rsid w:val="007C0F3A"/>
    <w:rsid w:val="007C1065"/>
    <w:rsid w:val="007C1537"/>
    <w:rsid w:val="007C1B94"/>
    <w:rsid w:val="007C1E8B"/>
    <w:rsid w:val="007C256C"/>
    <w:rsid w:val="007C2A39"/>
    <w:rsid w:val="007C3A8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A15"/>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64"/>
    <w:rsid w:val="007E0C8C"/>
    <w:rsid w:val="007E0CCD"/>
    <w:rsid w:val="007E1479"/>
    <w:rsid w:val="007E152B"/>
    <w:rsid w:val="007E1A55"/>
    <w:rsid w:val="007E1CB1"/>
    <w:rsid w:val="007E201B"/>
    <w:rsid w:val="007E2146"/>
    <w:rsid w:val="007E2B64"/>
    <w:rsid w:val="007E48CD"/>
    <w:rsid w:val="007E48E4"/>
    <w:rsid w:val="007E4937"/>
    <w:rsid w:val="007E4B02"/>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1F9F"/>
    <w:rsid w:val="007F22A5"/>
    <w:rsid w:val="007F287D"/>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7F7E02"/>
    <w:rsid w:val="00800104"/>
    <w:rsid w:val="00800184"/>
    <w:rsid w:val="0080067E"/>
    <w:rsid w:val="00800994"/>
    <w:rsid w:val="00800D5F"/>
    <w:rsid w:val="00801263"/>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244"/>
    <w:rsid w:val="0085130C"/>
    <w:rsid w:val="00851B22"/>
    <w:rsid w:val="008521C5"/>
    <w:rsid w:val="00852338"/>
    <w:rsid w:val="00852CA7"/>
    <w:rsid w:val="00852F3B"/>
    <w:rsid w:val="008536F2"/>
    <w:rsid w:val="00853B2A"/>
    <w:rsid w:val="00853C45"/>
    <w:rsid w:val="00854075"/>
    <w:rsid w:val="00854090"/>
    <w:rsid w:val="008540E5"/>
    <w:rsid w:val="008545D6"/>
    <w:rsid w:val="00854600"/>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3FD9"/>
    <w:rsid w:val="00864A9F"/>
    <w:rsid w:val="00864C62"/>
    <w:rsid w:val="00864D25"/>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845"/>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C93"/>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2CAD"/>
    <w:rsid w:val="00892E75"/>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0D02"/>
    <w:rsid w:val="008A111D"/>
    <w:rsid w:val="008A197B"/>
    <w:rsid w:val="008A1C65"/>
    <w:rsid w:val="008A1C6C"/>
    <w:rsid w:val="008A1EA1"/>
    <w:rsid w:val="008A24BD"/>
    <w:rsid w:val="008A251D"/>
    <w:rsid w:val="008A2AAE"/>
    <w:rsid w:val="008A2D0F"/>
    <w:rsid w:val="008A2F26"/>
    <w:rsid w:val="008A2F9B"/>
    <w:rsid w:val="008A36ED"/>
    <w:rsid w:val="008A3898"/>
    <w:rsid w:val="008A42D8"/>
    <w:rsid w:val="008A457F"/>
    <w:rsid w:val="008A4815"/>
    <w:rsid w:val="008A523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3FD"/>
    <w:rsid w:val="008B097E"/>
    <w:rsid w:val="008B0C49"/>
    <w:rsid w:val="008B0CD0"/>
    <w:rsid w:val="008B0FE8"/>
    <w:rsid w:val="008B1141"/>
    <w:rsid w:val="008B130E"/>
    <w:rsid w:val="008B1651"/>
    <w:rsid w:val="008B175A"/>
    <w:rsid w:val="008B1EFF"/>
    <w:rsid w:val="008B21F5"/>
    <w:rsid w:val="008B2678"/>
    <w:rsid w:val="008B269F"/>
    <w:rsid w:val="008B2A2E"/>
    <w:rsid w:val="008B2D1D"/>
    <w:rsid w:val="008B2DEB"/>
    <w:rsid w:val="008B3546"/>
    <w:rsid w:val="008B35ED"/>
    <w:rsid w:val="008B36A9"/>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6BE"/>
    <w:rsid w:val="008C28BA"/>
    <w:rsid w:val="008C2BF3"/>
    <w:rsid w:val="008C3240"/>
    <w:rsid w:val="008C3B15"/>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3CD"/>
    <w:rsid w:val="008E35C0"/>
    <w:rsid w:val="008E378A"/>
    <w:rsid w:val="008E388C"/>
    <w:rsid w:val="008E3F52"/>
    <w:rsid w:val="008E412D"/>
    <w:rsid w:val="008E427C"/>
    <w:rsid w:val="008E451A"/>
    <w:rsid w:val="008E4820"/>
    <w:rsid w:val="008E5B5F"/>
    <w:rsid w:val="008E5D5A"/>
    <w:rsid w:val="008E6333"/>
    <w:rsid w:val="008E6788"/>
    <w:rsid w:val="008E7830"/>
    <w:rsid w:val="008E7DB3"/>
    <w:rsid w:val="008F01AB"/>
    <w:rsid w:val="008F0300"/>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6D6D"/>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683"/>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25A"/>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C23"/>
    <w:rsid w:val="00940D85"/>
    <w:rsid w:val="00940DF4"/>
    <w:rsid w:val="00940FB5"/>
    <w:rsid w:val="0094148B"/>
    <w:rsid w:val="00941A1C"/>
    <w:rsid w:val="00941B97"/>
    <w:rsid w:val="00942A0C"/>
    <w:rsid w:val="00942BB8"/>
    <w:rsid w:val="009431EB"/>
    <w:rsid w:val="0094335F"/>
    <w:rsid w:val="00943663"/>
    <w:rsid w:val="00943D09"/>
    <w:rsid w:val="00944202"/>
    <w:rsid w:val="00944335"/>
    <w:rsid w:val="00944710"/>
    <w:rsid w:val="00944AF4"/>
    <w:rsid w:val="00944D54"/>
    <w:rsid w:val="00945E49"/>
    <w:rsid w:val="009462D8"/>
    <w:rsid w:val="00946388"/>
    <w:rsid w:val="0094657D"/>
    <w:rsid w:val="00947030"/>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C87"/>
    <w:rsid w:val="00953E64"/>
    <w:rsid w:val="009548C3"/>
    <w:rsid w:val="0095506D"/>
    <w:rsid w:val="009555E2"/>
    <w:rsid w:val="009557DF"/>
    <w:rsid w:val="00955A2E"/>
    <w:rsid w:val="00956101"/>
    <w:rsid w:val="0095640F"/>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492B"/>
    <w:rsid w:val="00995360"/>
    <w:rsid w:val="009954AD"/>
    <w:rsid w:val="00995A42"/>
    <w:rsid w:val="00996546"/>
    <w:rsid w:val="00996A8B"/>
    <w:rsid w:val="00996C95"/>
    <w:rsid w:val="00996CD1"/>
    <w:rsid w:val="00996CD4"/>
    <w:rsid w:val="0099713E"/>
    <w:rsid w:val="0099731A"/>
    <w:rsid w:val="009979D6"/>
    <w:rsid w:val="00997BF8"/>
    <w:rsid w:val="00997CA3"/>
    <w:rsid w:val="009A0212"/>
    <w:rsid w:val="009A031F"/>
    <w:rsid w:val="009A041C"/>
    <w:rsid w:val="009A1103"/>
    <w:rsid w:val="009A1E02"/>
    <w:rsid w:val="009A1E77"/>
    <w:rsid w:val="009A20F1"/>
    <w:rsid w:val="009A2180"/>
    <w:rsid w:val="009A246A"/>
    <w:rsid w:val="009A306B"/>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1B7"/>
    <w:rsid w:val="009B639A"/>
    <w:rsid w:val="009B68AD"/>
    <w:rsid w:val="009B6C13"/>
    <w:rsid w:val="009B7BB7"/>
    <w:rsid w:val="009B7FF4"/>
    <w:rsid w:val="009B7FFA"/>
    <w:rsid w:val="009C00EF"/>
    <w:rsid w:val="009C037D"/>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5F84"/>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8CD"/>
    <w:rsid w:val="009E5A2E"/>
    <w:rsid w:val="009E5AB4"/>
    <w:rsid w:val="009E5ED8"/>
    <w:rsid w:val="009E605E"/>
    <w:rsid w:val="009E6221"/>
    <w:rsid w:val="009E641D"/>
    <w:rsid w:val="009E6B61"/>
    <w:rsid w:val="009E6C6A"/>
    <w:rsid w:val="009E6F6E"/>
    <w:rsid w:val="009E798E"/>
    <w:rsid w:val="009F06F6"/>
    <w:rsid w:val="009F0C38"/>
    <w:rsid w:val="009F0CD1"/>
    <w:rsid w:val="009F1033"/>
    <w:rsid w:val="009F15BA"/>
    <w:rsid w:val="009F187B"/>
    <w:rsid w:val="009F1933"/>
    <w:rsid w:val="009F1EFB"/>
    <w:rsid w:val="009F2E7E"/>
    <w:rsid w:val="009F3371"/>
    <w:rsid w:val="009F390C"/>
    <w:rsid w:val="009F3A4B"/>
    <w:rsid w:val="009F41E1"/>
    <w:rsid w:val="009F4375"/>
    <w:rsid w:val="009F4834"/>
    <w:rsid w:val="009F4F05"/>
    <w:rsid w:val="009F5120"/>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59B1"/>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27441"/>
    <w:rsid w:val="00A3072C"/>
    <w:rsid w:val="00A30BAE"/>
    <w:rsid w:val="00A313D0"/>
    <w:rsid w:val="00A314A9"/>
    <w:rsid w:val="00A31591"/>
    <w:rsid w:val="00A3170C"/>
    <w:rsid w:val="00A31C37"/>
    <w:rsid w:val="00A31E09"/>
    <w:rsid w:val="00A31E88"/>
    <w:rsid w:val="00A321EE"/>
    <w:rsid w:val="00A325C2"/>
    <w:rsid w:val="00A325CC"/>
    <w:rsid w:val="00A327E2"/>
    <w:rsid w:val="00A32C37"/>
    <w:rsid w:val="00A32D52"/>
    <w:rsid w:val="00A33C3D"/>
    <w:rsid w:val="00A33C9E"/>
    <w:rsid w:val="00A340B4"/>
    <w:rsid w:val="00A34334"/>
    <w:rsid w:val="00A35735"/>
    <w:rsid w:val="00A35853"/>
    <w:rsid w:val="00A35A0B"/>
    <w:rsid w:val="00A362CB"/>
    <w:rsid w:val="00A36694"/>
    <w:rsid w:val="00A3747D"/>
    <w:rsid w:val="00A37789"/>
    <w:rsid w:val="00A379AA"/>
    <w:rsid w:val="00A37A59"/>
    <w:rsid w:val="00A40531"/>
    <w:rsid w:val="00A40889"/>
    <w:rsid w:val="00A41009"/>
    <w:rsid w:val="00A41179"/>
    <w:rsid w:val="00A41435"/>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1E51"/>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166"/>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93B"/>
    <w:rsid w:val="00A77C0E"/>
    <w:rsid w:val="00A8057E"/>
    <w:rsid w:val="00A806D6"/>
    <w:rsid w:val="00A80E52"/>
    <w:rsid w:val="00A81198"/>
    <w:rsid w:val="00A8127A"/>
    <w:rsid w:val="00A8135C"/>
    <w:rsid w:val="00A81633"/>
    <w:rsid w:val="00A8221B"/>
    <w:rsid w:val="00A82665"/>
    <w:rsid w:val="00A82CC8"/>
    <w:rsid w:val="00A83030"/>
    <w:rsid w:val="00A831F0"/>
    <w:rsid w:val="00A834EC"/>
    <w:rsid w:val="00A83A31"/>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11E"/>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C3B"/>
    <w:rsid w:val="00AA6F9A"/>
    <w:rsid w:val="00AA7C4F"/>
    <w:rsid w:val="00AB001C"/>
    <w:rsid w:val="00AB02C8"/>
    <w:rsid w:val="00AB04E6"/>
    <w:rsid w:val="00AB06B8"/>
    <w:rsid w:val="00AB0ADE"/>
    <w:rsid w:val="00AB0CA0"/>
    <w:rsid w:val="00AB102D"/>
    <w:rsid w:val="00AB19C9"/>
    <w:rsid w:val="00AB1A33"/>
    <w:rsid w:val="00AB1C99"/>
    <w:rsid w:val="00AB2857"/>
    <w:rsid w:val="00AB2EA1"/>
    <w:rsid w:val="00AB3299"/>
    <w:rsid w:val="00AB3418"/>
    <w:rsid w:val="00AB3491"/>
    <w:rsid w:val="00AB3D55"/>
    <w:rsid w:val="00AB3D94"/>
    <w:rsid w:val="00AB3E16"/>
    <w:rsid w:val="00AB3E3E"/>
    <w:rsid w:val="00AB3F13"/>
    <w:rsid w:val="00AB4157"/>
    <w:rsid w:val="00AB42FF"/>
    <w:rsid w:val="00AB513E"/>
    <w:rsid w:val="00AB53BA"/>
    <w:rsid w:val="00AB54FF"/>
    <w:rsid w:val="00AB5528"/>
    <w:rsid w:val="00AB57AD"/>
    <w:rsid w:val="00AB583A"/>
    <w:rsid w:val="00AB5F9A"/>
    <w:rsid w:val="00AB642C"/>
    <w:rsid w:val="00AB675F"/>
    <w:rsid w:val="00AB7134"/>
    <w:rsid w:val="00AB76D5"/>
    <w:rsid w:val="00AB7787"/>
    <w:rsid w:val="00AB78AC"/>
    <w:rsid w:val="00AC0816"/>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8BD"/>
    <w:rsid w:val="00AD3BEC"/>
    <w:rsid w:val="00AD4036"/>
    <w:rsid w:val="00AD43DC"/>
    <w:rsid w:val="00AD48F9"/>
    <w:rsid w:val="00AD514B"/>
    <w:rsid w:val="00AD53F6"/>
    <w:rsid w:val="00AD6C7F"/>
    <w:rsid w:val="00AD702D"/>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27D"/>
    <w:rsid w:val="00AF5363"/>
    <w:rsid w:val="00AF5572"/>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58C"/>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0D"/>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5BF"/>
    <w:rsid w:val="00B3396B"/>
    <w:rsid w:val="00B342B6"/>
    <w:rsid w:val="00B34886"/>
    <w:rsid w:val="00B3488B"/>
    <w:rsid w:val="00B34F35"/>
    <w:rsid w:val="00B3511C"/>
    <w:rsid w:val="00B3539A"/>
    <w:rsid w:val="00B35BBB"/>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47FA9"/>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5F20"/>
    <w:rsid w:val="00B5612F"/>
    <w:rsid w:val="00B56224"/>
    <w:rsid w:val="00B566E0"/>
    <w:rsid w:val="00B5685D"/>
    <w:rsid w:val="00B5737A"/>
    <w:rsid w:val="00B57861"/>
    <w:rsid w:val="00B607B8"/>
    <w:rsid w:val="00B60D69"/>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5E95"/>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2E90"/>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879F3"/>
    <w:rsid w:val="00B87A3A"/>
    <w:rsid w:val="00B87BE5"/>
    <w:rsid w:val="00B908FB"/>
    <w:rsid w:val="00B90DC8"/>
    <w:rsid w:val="00B91356"/>
    <w:rsid w:val="00B915FE"/>
    <w:rsid w:val="00B91E0F"/>
    <w:rsid w:val="00B926E0"/>
    <w:rsid w:val="00B92875"/>
    <w:rsid w:val="00B928B6"/>
    <w:rsid w:val="00B92FE9"/>
    <w:rsid w:val="00B937D2"/>
    <w:rsid w:val="00B93A77"/>
    <w:rsid w:val="00B93B55"/>
    <w:rsid w:val="00B93C36"/>
    <w:rsid w:val="00B93D9A"/>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642"/>
    <w:rsid w:val="00BB1779"/>
    <w:rsid w:val="00BB1966"/>
    <w:rsid w:val="00BB1B24"/>
    <w:rsid w:val="00BB1C4F"/>
    <w:rsid w:val="00BB1D50"/>
    <w:rsid w:val="00BB1EE6"/>
    <w:rsid w:val="00BB1FB6"/>
    <w:rsid w:val="00BB21CA"/>
    <w:rsid w:val="00BB225D"/>
    <w:rsid w:val="00BB3355"/>
    <w:rsid w:val="00BB365A"/>
    <w:rsid w:val="00BB3F4C"/>
    <w:rsid w:val="00BB3F8F"/>
    <w:rsid w:val="00BB424D"/>
    <w:rsid w:val="00BB46EF"/>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907"/>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9B5"/>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4E8"/>
    <w:rsid w:val="00BE16C6"/>
    <w:rsid w:val="00BE1959"/>
    <w:rsid w:val="00BE197A"/>
    <w:rsid w:val="00BE1A06"/>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29A6"/>
    <w:rsid w:val="00BF31CB"/>
    <w:rsid w:val="00BF39FE"/>
    <w:rsid w:val="00BF3BAD"/>
    <w:rsid w:val="00BF3C10"/>
    <w:rsid w:val="00BF3FC2"/>
    <w:rsid w:val="00BF3FFA"/>
    <w:rsid w:val="00BF4462"/>
    <w:rsid w:val="00BF46F1"/>
    <w:rsid w:val="00BF4B69"/>
    <w:rsid w:val="00BF56A8"/>
    <w:rsid w:val="00BF60E3"/>
    <w:rsid w:val="00BF6C19"/>
    <w:rsid w:val="00BF6EEF"/>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70B"/>
    <w:rsid w:val="00C11A2D"/>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3669"/>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261"/>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CA4"/>
    <w:rsid w:val="00C64EDC"/>
    <w:rsid w:val="00C65D24"/>
    <w:rsid w:val="00C65D42"/>
    <w:rsid w:val="00C65F58"/>
    <w:rsid w:val="00C66571"/>
    <w:rsid w:val="00C666DB"/>
    <w:rsid w:val="00C667F6"/>
    <w:rsid w:val="00C66B89"/>
    <w:rsid w:val="00C66C34"/>
    <w:rsid w:val="00C66E71"/>
    <w:rsid w:val="00C67231"/>
    <w:rsid w:val="00C6737D"/>
    <w:rsid w:val="00C67851"/>
    <w:rsid w:val="00C7040D"/>
    <w:rsid w:val="00C70B8C"/>
    <w:rsid w:val="00C71468"/>
    <w:rsid w:val="00C71542"/>
    <w:rsid w:val="00C71DCC"/>
    <w:rsid w:val="00C72045"/>
    <w:rsid w:val="00C723AF"/>
    <w:rsid w:val="00C72646"/>
    <w:rsid w:val="00C72EF5"/>
    <w:rsid w:val="00C732C5"/>
    <w:rsid w:val="00C7336E"/>
    <w:rsid w:val="00C7357D"/>
    <w:rsid w:val="00C740FD"/>
    <w:rsid w:val="00C74157"/>
    <w:rsid w:val="00C7448E"/>
    <w:rsid w:val="00C744C3"/>
    <w:rsid w:val="00C748E2"/>
    <w:rsid w:val="00C74CFB"/>
    <w:rsid w:val="00C75004"/>
    <w:rsid w:val="00C755E8"/>
    <w:rsid w:val="00C75970"/>
    <w:rsid w:val="00C759EF"/>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381E"/>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9AA"/>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25A"/>
    <w:rsid w:val="00CE4729"/>
    <w:rsid w:val="00CE49E2"/>
    <w:rsid w:val="00CE5E50"/>
    <w:rsid w:val="00CE697C"/>
    <w:rsid w:val="00CE69F3"/>
    <w:rsid w:val="00CE6AD5"/>
    <w:rsid w:val="00CE6E24"/>
    <w:rsid w:val="00CE76BD"/>
    <w:rsid w:val="00CE79BC"/>
    <w:rsid w:val="00CE7A1D"/>
    <w:rsid w:val="00CF02AC"/>
    <w:rsid w:val="00CF057C"/>
    <w:rsid w:val="00CF0698"/>
    <w:rsid w:val="00CF06E6"/>
    <w:rsid w:val="00CF18AB"/>
    <w:rsid w:val="00CF1AA6"/>
    <w:rsid w:val="00CF1B8B"/>
    <w:rsid w:val="00CF20C8"/>
    <w:rsid w:val="00CF233B"/>
    <w:rsid w:val="00CF23D5"/>
    <w:rsid w:val="00CF2639"/>
    <w:rsid w:val="00CF277A"/>
    <w:rsid w:val="00CF2A88"/>
    <w:rsid w:val="00CF2FBF"/>
    <w:rsid w:val="00CF33BA"/>
    <w:rsid w:val="00CF3D94"/>
    <w:rsid w:val="00CF3F01"/>
    <w:rsid w:val="00CF46E1"/>
    <w:rsid w:val="00CF50A9"/>
    <w:rsid w:val="00CF5438"/>
    <w:rsid w:val="00CF61A3"/>
    <w:rsid w:val="00CF66DE"/>
    <w:rsid w:val="00CF6848"/>
    <w:rsid w:val="00CF6AF3"/>
    <w:rsid w:val="00CF6C72"/>
    <w:rsid w:val="00CF6C9A"/>
    <w:rsid w:val="00CF6F64"/>
    <w:rsid w:val="00CF7CCF"/>
    <w:rsid w:val="00D00522"/>
    <w:rsid w:val="00D00B22"/>
    <w:rsid w:val="00D00E6A"/>
    <w:rsid w:val="00D017EE"/>
    <w:rsid w:val="00D0182B"/>
    <w:rsid w:val="00D0186E"/>
    <w:rsid w:val="00D01C73"/>
    <w:rsid w:val="00D02369"/>
    <w:rsid w:val="00D02C36"/>
    <w:rsid w:val="00D02E17"/>
    <w:rsid w:val="00D03475"/>
    <w:rsid w:val="00D04304"/>
    <w:rsid w:val="00D043E7"/>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66B"/>
    <w:rsid w:val="00D13880"/>
    <w:rsid w:val="00D13BBC"/>
    <w:rsid w:val="00D13CCD"/>
    <w:rsid w:val="00D14006"/>
    <w:rsid w:val="00D14204"/>
    <w:rsid w:val="00D14EC6"/>
    <w:rsid w:val="00D15385"/>
    <w:rsid w:val="00D15387"/>
    <w:rsid w:val="00D15D9D"/>
    <w:rsid w:val="00D1617E"/>
    <w:rsid w:val="00D1624D"/>
    <w:rsid w:val="00D1630F"/>
    <w:rsid w:val="00D163B3"/>
    <w:rsid w:val="00D16BA8"/>
    <w:rsid w:val="00D174E5"/>
    <w:rsid w:val="00D17F37"/>
    <w:rsid w:val="00D200E8"/>
    <w:rsid w:val="00D20171"/>
    <w:rsid w:val="00D202D3"/>
    <w:rsid w:val="00D20D42"/>
    <w:rsid w:val="00D20F77"/>
    <w:rsid w:val="00D2109E"/>
    <w:rsid w:val="00D215E6"/>
    <w:rsid w:val="00D2171B"/>
    <w:rsid w:val="00D217CE"/>
    <w:rsid w:val="00D21AC5"/>
    <w:rsid w:val="00D21CEA"/>
    <w:rsid w:val="00D22148"/>
    <w:rsid w:val="00D22D2B"/>
    <w:rsid w:val="00D23556"/>
    <w:rsid w:val="00D2390D"/>
    <w:rsid w:val="00D23B89"/>
    <w:rsid w:val="00D23CE2"/>
    <w:rsid w:val="00D23EAA"/>
    <w:rsid w:val="00D2490A"/>
    <w:rsid w:val="00D25E80"/>
    <w:rsid w:val="00D261FB"/>
    <w:rsid w:val="00D26283"/>
    <w:rsid w:val="00D263B5"/>
    <w:rsid w:val="00D26586"/>
    <w:rsid w:val="00D26A38"/>
    <w:rsid w:val="00D26DBE"/>
    <w:rsid w:val="00D27F01"/>
    <w:rsid w:val="00D30C46"/>
    <w:rsid w:val="00D30FC7"/>
    <w:rsid w:val="00D316E2"/>
    <w:rsid w:val="00D31B72"/>
    <w:rsid w:val="00D31B9F"/>
    <w:rsid w:val="00D31BEA"/>
    <w:rsid w:val="00D328D5"/>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159"/>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668"/>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860"/>
    <w:rsid w:val="00D66DAA"/>
    <w:rsid w:val="00D679BF"/>
    <w:rsid w:val="00D7010A"/>
    <w:rsid w:val="00D702AB"/>
    <w:rsid w:val="00D7040B"/>
    <w:rsid w:val="00D70B22"/>
    <w:rsid w:val="00D70F5E"/>
    <w:rsid w:val="00D70F87"/>
    <w:rsid w:val="00D7123A"/>
    <w:rsid w:val="00D71E14"/>
    <w:rsid w:val="00D72489"/>
    <w:rsid w:val="00D727DB"/>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4E0"/>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6F20"/>
    <w:rsid w:val="00DA714A"/>
    <w:rsid w:val="00DA71AF"/>
    <w:rsid w:val="00DA727D"/>
    <w:rsid w:val="00DA7A85"/>
    <w:rsid w:val="00DA7BC7"/>
    <w:rsid w:val="00DA7E4C"/>
    <w:rsid w:val="00DB0487"/>
    <w:rsid w:val="00DB0564"/>
    <w:rsid w:val="00DB1539"/>
    <w:rsid w:val="00DB1736"/>
    <w:rsid w:val="00DB1BA4"/>
    <w:rsid w:val="00DB1F98"/>
    <w:rsid w:val="00DB2551"/>
    <w:rsid w:val="00DB346B"/>
    <w:rsid w:val="00DB35C7"/>
    <w:rsid w:val="00DB39DE"/>
    <w:rsid w:val="00DB3D52"/>
    <w:rsid w:val="00DB42C3"/>
    <w:rsid w:val="00DB4322"/>
    <w:rsid w:val="00DB4F9D"/>
    <w:rsid w:val="00DB5A21"/>
    <w:rsid w:val="00DB5BEA"/>
    <w:rsid w:val="00DB5C12"/>
    <w:rsid w:val="00DB5D08"/>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2F81"/>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105"/>
    <w:rsid w:val="00DD5CB1"/>
    <w:rsid w:val="00DD5E89"/>
    <w:rsid w:val="00DD6396"/>
    <w:rsid w:val="00DD6C70"/>
    <w:rsid w:val="00DD6CED"/>
    <w:rsid w:val="00DD6DA2"/>
    <w:rsid w:val="00DD7405"/>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833"/>
    <w:rsid w:val="00DE4B0C"/>
    <w:rsid w:val="00DE4D74"/>
    <w:rsid w:val="00DE516B"/>
    <w:rsid w:val="00DE61AA"/>
    <w:rsid w:val="00DE6AA3"/>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224"/>
    <w:rsid w:val="00E133DA"/>
    <w:rsid w:val="00E136AE"/>
    <w:rsid w:val="00E139D0"/>
    <w:rsid w:val="00E1421C"/>
    <w:rsid w:val="00E142EA"/>
    <w:rsid w:val="00E14308"/>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6C"/>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110"/>
    <w:rsid w:val="00E3457A"/>
    <w:rsid w:val="00E34F08"/>
    <w:rsid w:val="00E35270"/>
    <w:rsid w:val="00E35D7F"/>
    <w:rsid w:val="00E35F47"/>
    <w:rsid w:val="00E362BC"/>
    <w:rsid w:val="00E377BF"/>
    <w:rsid w:val="00E37C25"/>
    <w:rsid w:val="00E37C6B"/>
    <w:rsid w:val="00E40362"/>
    <w:rsid w:val="00E40442"/>
    <w:rsid w:val="00E40DAE"/>
    <w:rsid w:val="00E41565"/>
    <w:rsid w:val="00E4188E"/>
    <w:rsid w:val="00E41959"/>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82"/>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42C"/>
    <w:rsid w:val="00E746C8"/>
    <w:rsid w:val="00E7476B"/>
    <w:rsid w:val="00E74B5A"/>
    <w:rsid w:val="00E74DDD"/>
    <w:rsid w:val="00E74FA5"/>
    <w:rsid w:val="00E7524F"/>
    <w:rsid w:val="00E7556D"/>
    <w:rsid w:val="00E75616"/>
    <w:rsid w:val="00E756FB"/>
    <w:rsid w:val="00E75A6B"/>
    <w:rsid w:val="00E75C0F"/>
    <w:rsid w:val="00E75F9B"/>
    <w:rsid w:val="00E76141"/>
    <w:rsid w:val="00E76270"/>
    <w:rsid w:val="00E76316"/>
    <w:rsid w:val="00E76ED7"/>
    <w:rsid w:val="00E77040"/>
    <w:rsid w:val="00E770E1"/>
    <w:rsid w:val="00E771A6"/>
    <w:rsid w:val="00E773D4"/>
    <w:rsid w:val="00E7797B"/>
    <w:rsid w:val="00E77B21"/>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2874"/>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26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9D1"/>
    <w:rsid w:val="00EB7B45"/>
    <w:rsid w:val="00EB7C50"/>
    <w:rsid w:val="00EB7E4D"/>
    <w:rsid w:val="00EB7FE8"/>
    <w:rsid w:val="00EC117E"/>
    <w:rsid w:val="00EC183D"/>
    <w:rsid w:val="00EC1D83"/>
    <w:rsid w:val="00EC24E8"/>
    <w:rsid w:val="00EC2E21"/>
    <w:rsid w:val="00EC331F"/>
    <w:rsid w:val="00EC36DD"/>
    <w:rsid w:val="00EC4D77"/>
    <w:rsid w:val="00EC4D7B"/>
    <w:rsid w:val="00EC4E2E"/>
    <w:rsid w:val="00EC555C"/>
    <w:rsid w:val="00EC5566"/>
    <w:rsid w:val="00EC5671"/>
    <w:rsid w:val="00EC5A0B"/>
    <w:rsid w:val="00EC5A47"/>
    <w:rsid w:val="00EC5F1A"/>
    <w:rsid w:val="00EC6337"/>
    <w:rsid w:val="00EC6D68"/>
    <w:rsid w:val="00EC7183"/>
    <w:rsid w:val="00EC71AB"/>
    <w:rsid w:val="00EC77F9"/>
    <w:rsid w:val="00ED022F"/>
    <w:rsid w:val="00ED097F"/>
    <w:rsid w:val="00ED0B74"/>
    <w:rsid w:val="00ED0DE8"/>
    <w:rsid w:val="00ED0EB9"/>
    <w:rsid w:val="00ED1447"/>
    <w:rsid w:val="00ED19B6"/>
    <w:rsid w:val="00ED1A39"/>
    <w:rsid w:val="00ED237E"/>
    <w:rsid w:val="00ED24AE"/>
    <w:rsid w:val="00ED2E3F"/>
    <w:rsid w:val="00ED2FF1"/>
    <w:rsid w:val="00ED3207"/>
    <w:rsid w:val="00ED32E7"/>
    <w:rsid w:val="00ED3534"/>
    <w:rsid w:val="00ED35B9"/>
    <w:rsid w:val="00ED38D7"/>
    <w:rsid w:val="00ED3B7D"/>
    <w:rsid w:val="00ED4D55"/>
    <w:rsid w:val="00ED5122"/>
    <w:rsid w:val="00ED54F7"/>
    <w:rsid w:val="00ED58F2"/>
    <w:rsid w:val="00ED5923"/>
    <w:rsid w:val="00ED5A77"/>
    <w:rsid w:val="00ED78F7"/>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88F"/>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BC"/>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EF7F75"/>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3E8"/>
    <w:rsid w:val="00F03466"/>
    <w:rsid w:val="00F0363E"/>
    <w:rsid w:val="00F0388F"/>
    <w:rsid w:val="00F03891"/>
    <w:rsid w:val="00F03E80"/>
    <w:rsid w:val="00F04551"/>
    <w:rsid w:val="00F04D11"/>
    <w:rsid w:val="00F04D51"/>
    <w:rsid w:val="00F04F3E"/>
    <w:rsid w:val="00F04F98"/>
    <w:rsid w:val="00F0522E"/>
    <w:rsid w:val="00F05A6F"/>
    <w:rsid w:val="00F05CA2"/>
    <w:rsid w:val="00F05EED"/>
    <w:rsid w:val="00F06048"/>
    <w:rsid w:val="00F06C99"/>
    <w:rsid w:val="00F06F02"/>
    <w:rsid w:val="00F10437"/>
    <w:rsid w:val="00F10465"/>
    <w:rsid w:val="00F10864"/>
    <w:rsid w:val="00F108F5"/>
    <w:rsid w:val="00F11399"/>
    <w:rsid w:val="00F1165E"/>
    <w:rsid w:val="00F11CF5"/>
    <w:rsid w:val="00F124CB"/>
    <w:rsid w:val="00F12B3D"/>
    <w:rsid w:val="00F12D63"/>
    <w:rsid w:val="00F1403E"/>
    <w:rsid w:val="00F1415B"/>
    <w:rsid w:val="00F1476B"/>
    <w:rsid w:val="00F149F8"/>
    <w:rsid w:val="00F15838"/>
    <w:rsid w:val="00F15860"/>
    <w:rsid w:val="00F1622A"/>
    <w:rsid w:val="00F16BB1"/>
    <w:rsid w:val="00F16DD9"/>
    <w:rsid w:val="00F16F4F"/>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7B4"/>
    <w:rsid w:val="00F318E7"/>
    <w:rsid w:val="00F31F17"/>
    <w:rsid w:val="00F3236F"/>
    <w:rsid w:val="00F32374"/>
    <w:rsid w:val="00F32F0E"/>
    <w:rsid w:val="00F32F3E"/>
    <w:rsid w:val="00F33485"/>
    <w:rsid w:val="00F3383E"/>
    <w:rsid w:val="00F34286"/>
    <w:rsid w:val="00F342E5"/>
    <w:rsid w:val="00F346BC"/>
    <w:rsid w:val="00F3521B"/>
    <w:rsid w:val="00F352B2"/>
    <w:rsid w:val="00F35561"/>
    <w:rsid w:val="00F35865"/>
    <w:rsid w:val="00F35E92"/>
    <w:rsid w:val="00F3651B"/>
    <w:rsid w:val="00F369F3"/>
    <w:rsid w:val="00F36C94"/>
    <w:rsid w:val="00F36D44"/>
    <w:rsid w:val="00F370CB"/>
    <w:rsid w:val="00F377A2"/>
    <w:rsid w:val="00F37922"/>
    <w:rsid w:val="00F37AEF"/>
    <w:rsid w:val="00F4125D"/>
    <w:rsid w:val="00F41863"/>
    <w:rsid w:val="00F42865"/>
    <w:rsid w:val="00F42910"/>
    <w:rsid w:val="00F42C2B"/>
    <w:rsid w:val="00F431A1"/>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5D1"/>
    <w:rsid w:val="00F55AC5"/>
    <w:rsid w:val="00F562AB"/>
    <w:rsid w:val="00F568FF"/>
    <w:rsid w:val="00F56918"/>
    <w:rsid w:val="00F569B2"/>
    <w:rsid w:val="00F56B25"/>
    <w:rsid w:val="00F5765A"/>
    <w:rsid w:val="00F5766D"/>
    <w:rsid w:val="00F57704"/>
    <w:rsid w:val="00F577F9"/>
    <w:rsid w:val="00F57C72"/>
    <w:rsid w:val="00F6021A"/>
    <w:rsid w:val="00F61158"/>
    <w:rsid w:val="00F61332"/>
    <w:rsid w:val="00F61564"/>
    <w:rsid w:val="00F61701"/>
    <w:rsid w:val="00F61902"/>
    <w:rsid w:val="00F61FDE"/>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9A"/>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5D2"/>
    <w:rsid w:val="00F916F0"/>
    <w:rsid w:val="00F9174D"/>
    <w:rsid w:val="00F91906"/>
    <w:rsid w:val="00F91CA2"/>
    <w:rsid w:val="00F91DAC"/>
    <w:rsid w:val="00F92174"/>
    <w:rsid w:val="00F923DB"/>
    <w:rsid w:val="00F92725"/>
    <w:rsid w:val="00F92FBA"/>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55E"/>
    <w:rsid w:val="00FA3C84"/>
    <w:rsid w:val="00FA41C4"/>
    <w:rsid w:val="00FA4D92"/>
    <w:rsid w:val="00FA4EDE"/>
    <w:rsid w:val="00FA50E8"/>
    <w:rsid w:val="00FA5226"/>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BC"/>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50DB"/>
    <w:rsid w:val="00FD6318"/>
    <w:rsid w:val="00FD6368"/>
    <w:rsid w:val="00FD6A3D"/>
    <w:rsid w:val="00FD6B8B"/>
    <w:rsid w:val="00FD6D71"/>
    <w:rsid w:val="00FD6F9D"/>
    <w:rsid w:val="00FD7001"/>
    <w:rsid w:val="00FD7240"/>
    <w:rsid w:val="00FD72CF"/>
    <w:rsid w:val="00FD72D9"/>
    <w:rsid w:val="00FD73AE"/>
    <w:rsid w:val="00FD74BB"/>
    <w:rsid w:val="00FD76BE"/>
    <w:rsid w:val="00FD7E66"/>
    <w:rsid w:val="00FD7F6A"/>
    <w:rsid w:val="00FE04B6"/>
    <w:rsid w:val="00FE05E5"/>
    <w:rsid w:val="00FE0657"/>
    <w:rsid w:val="00FE0D4A"/>
    <w:rsid w:val="00FE1AE2"/>
    <w:rsid w:val="00FE20AB"/>
    <w:rsid w:val="00FE22FE"/>
    <w:rsid w:val="00FE2B7B"/>
    <w:rsid w:val="00FE3100"/>
    <w:rsid w:val="00FE31F9"/>
    <w:rsid w:val="00FE3439"/>
    <w:rsid w:val="00FE3768"/>
    <w:rsid w:val="00FE397B"/>
    <w:rsid w:val="00FE4167"/>
    <w:rsid w:val="00FE5172"/>
    <w:rsid w:val="00FE5410"/>
    <w:rsid w:val="00FE56ED"/>
    <w:rsid w:val="00FE5977"/>
    <w:rsid w:val="00FE5FA7"/>
    <w:rsid w:val="00FE627C"/>
    <w:rsid w:val="00FE6DEC"/>
    <w:rsid w:val="00FE74E2"/>
    <w:rsid w:val="00FE74FC"/>
    <w:rsid w:val="00FE761D"/>
    <w:rsid w:val="00FE76FA"/>
    <w:rsid w:val="00FE7A01"/>
    <w:rsid w:val="00FE7C3E"/>
    <w:rsid w:val="00FE7F00"/>
    <w:rsid w:val="00FF01C5"/>
    <w:rsid w:val="00FF0224"/>
    <w:rsid w:val="00FF0502"/>
    <w:rsid w:val="00FF0BBB"/>
    <w:rsid w:val="00FF1455"/>
    <w:rsid w:val="00FF1716"/>
    <w:rsid w:val="00FF1862"/>
    <w:rsid w:val="00FF2077"/>
    <w:rsid w:val="00FF2461"/>
    <w:rsid w:val="00FF249E"/>
    <w:rsid w:val="00FF2A88"/>
    <w:rsid w:val="00FF37C5"/>
    <w:rsid w:val="00FF3A12"/>
    <w:rsid w:val="00FF3CFC"/>
    <w:rsid w:val="00FF4054"/>
    <w:rsid w:val="00FF43AF"/>
    <w:rsid w:val="00FF48E0"/>
    <w:rsid w:val="00FF4D22"/>
    <w:rsid w:val="00FF4E58"/>
    <w:rsid w:val="00FF4E9C"/>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fighead22"/>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uiPriority w:val="99"/>
    <w:qFormat/>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qFormat/>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table" w:customStyle="1" w:styleId="TableGrid1">
    <w:name w:val="Table Grid1"/>
    <w:basedOn w:val="TableNormal"/>
    <w:next w:val="TableGrid"/>
    <w:uiPriority w:val="39"/>
    <w:rsid w:val="00657B8F"/>
    <w:rPr>
      <w:rFonts w:asciiTheme="minorHAnsi" w:eastAsiaTheme="minorEastAsia"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516745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oleObject" Target="embeddings/oleObject37.bin"/><Relationship Id="rId89" Type="http://schemas.openxmlformats.org/officeDocument/2006/relationships/oleObject" Target="embeddings/oleObject40.bin"/><Relationship Id="rId7" Type="http://schemas.openxmlformats.org/officeDocument/2006/relationships/styles" Target="styles.xml"/><Relationship Id="rId71" Type="http://schemas.openxmlformats.org/officeDocument/2006/relationships/image" Target="media/image31.wmf"/><Relationship Id="rId92" Type="http://schemas.openxmlformats.org/officeDocument/2006/relationships/image" Target="media/image40.wmf"/><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22.emf"/><Relationship Id="rId58" Type="http://schemas.openxmlformats.org/officeDocument/2006/relationships/oleObject" Target="embeddings/oleObject21.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oleObject" Target="embeddings/oleObject34.bin"/><Relationship Id="rId87" Type="http://schemas.openxmlformats.org/officeDocument/2006/relationships/oleObject" Target="embeddings/oleObject39.bin"/><Relationship Id="rId102"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image" Target="media/image27.wmf"/><Relationship Id="rId82" Type="http://schemas.openxmlformats.org/officeDocument/2006/relationships/oleObject" Target="embeddings/oleObject36.bin"/><Relationship Id="rId90" Type="http://schemas.openxmlformats.org/officeDocument/2006/relationships/image" Target="media/image39.wmf"/><Relationship Id="rId95" Type="http://schemas.openxmlformats.org/officeDocument/2006/relationships/oleObject" Target="embeddings/oleObject44.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image" Target="media/image17.emf"/><Relationship Id="rId56" Type="http://schemas.openxmlformats.org/officeDocument/2006/relationships/image" Target="media/image25.emf"/><Relationship Id="rId64" Type="http://schemas.openxmlformats.org/officeDocument/2006/relationships/oleObject" Target="embeddings/oleObject26.bin"/><Relationship Id="rId69" Type="http://schemas.openxmlformats.org/officeDocument/2006/relationships/image" Target="media/image30.wmf"/><Relationship Id="rId77" Type="http://schemas.openxmlformats.org/officeDocument/2006/relationships/oleObject" Target="embeddings/oleObject33.bin"/><Relationship Id="rId100" Type="http://schemas.openxmlformats.org/officeDocument/2006/relationships/header" Target="header1.xml"/><Relationship Id="rId105"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20.emf"/><Relationship Id="rId72" Type="http://schemas.openxmlformats.org/officeDocument/2006/relationships/oleObject" Target="embeddings/oleObject30.bin"/><Relationship Id="rId80" Type="http://schemas.openxmlformats.org/officeDocument/2006/relationships/oleObject" Target="embeddings/oleObject35.bin"/><Relationship Id="rId85" Type="http://schemas.openxmlformats.org/officeDocument/2006/relationships/image" Target="media/image37.wmf"/><Relationship Id="rId93" Type="http://schemas.openxmlformats.org/officeDocument/2006/relationships/oleObject" Target="embeddings/oleObject42.bin"/><Relationship Id="rId98" Type="http://schemas.openxmlformats.org/officeDocument/2006/relationships/image" Target="media/image42.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image" Target="media/image29.wmf"/><Relationship Id="rId103"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image" Target="media/image23.emf"/><Relationship Id="rId62" Type="http://schemas.openxmlformats.org/officeDocument/2006/relationships/oleObject" Target="embeddings/oleObject24.bin"/><Relationship Id="rId70" Type="http://schemas.openxmlformats.org/officeDocument/2006/relationships/oleObject" Target="embeddings/oleObject29.bin"/><Relationship Id="rId75" Type="http://schemas.openxmlformats.org/officeDocument/2006/relationships/image" Target="media/image33.wmf"/><Relationship Id="rId83" Type="http://schemas.openxmlformats.org/officeDocument/2006/relationships/image" Target="media/image36.wmf"/><Relationship Id="rId88" Type="http://schemas.openxmlformats.org/officeDocument/2006/relationships/image" Target="media/image38.wmf"/><Relationship Id="rId91" Type="http://schemas.openxmlformats.org/officeDocument/2006/relationships/oleObject" Target="embeddings/oleObject41.bin"/><Relationship Id="rId96" Type="http://schemas.openxmlformats.org/officeDocument/2006/relationships/image" Target="media/image41.e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8.emf"/><Relationship Id="rId57" Type="http://schemas.openxmlformats.org/officeDocument/2006/relationships/image" Target="media/image26.emf"/><Relationship Id="rId10" Type="http://schemas.openxmlformats.org/officeDocument/2006/relationships/footnotes" Target="footnote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21.emf"/><Relationship Id="rId60" Type="http://schemas.openxmlformats.org/officeDocument/2006/relationships/oleObject" Target="embeddings/oleObject23.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image" Target="media/image34.wmf"/><Relationship Id="rId81" Type="http://schemas.openxmlformats.org/officeDocument/2006/relationships/image" Target="media/image35.wmf"/><Relationship Id="rId86" Type="http://schemas.openxmlformats.org/officeDocument/2006/relationships/oleObject" Target="embeddings/oleObject38.bin"/><Relationship Id="rId94" Type="http://schemas.openxmlformats.org/officeDocument/2006/relationships/oleObject" Target="embeddings/oleObject43.bin"/><Relationship Id="rId99" Type="http://schemas.openxmlformats.org/officeDocument/2006/relationships/oleObject" Target="embeddings/oleObject45.bin"/><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image" Target="media/image19.emf"/><Relationship Id="rId55" Type="http://schemas.openxmlformats.org/officeDocument/2006/relationships/image" Target="media/image24.emf"/><Relationship Id="rId76" Type="http://schemas.openxmlformats.org/officeDocument/2006/relationships/oleObject" Target="embeddings/oleObject32.bin"/><Relationship Id="rId97" Type="http://schemas.openxmlformats.org/officeDocument/2006/relationships/package" Target="embeddings/Microsoft_Visio_Drawing1.vsdx"/><Relationship Id="rId10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11D0"/>
    <w:rsid w:val="00132BA2"/>
    <w:rsid w:val="001824B7"/>
    <w:rsid w:val="001D19B9"/>
    <w:rsid w:val="001D454D"/>
    <w:rsid w:val="001F5992"/>
    <w:rsid w:val="00203D1F"/>
    <w:rsid w:val="0025221E"/>
    <w:rsid w:val="00276A45"/>
    <w:rsid w:val="002A6228"/>
    <w:rsid w:val="002D53E2"/>
    <w:rsid w:val="002F0A35"/>
    <w:rsid w:val="002F5FAA"/>
    <w:rsid w:val="002F657B"/>
    <w:rsid w:val="00321E54"/>
    <w:rsid w:val="00337705"/>
    <w:rsid w:val="00374866"/>
    <w:rsid w:val="0037553D"/>
    <w:rsid w:val="003900AA"/>
    <w:rsid w:val="003C59B3"/>
    <w:rsid w:val="003E4262"/>
    <w:rsid w:val="003F2210"/>
    <w:rsid w:val="003F66E1"/>
    <w:rsid w:val="00407E31"/>
    <w:rsid w:val="00444A92"/>
    <w:rsid w:val="00475B0B"/>
    <w:rsid w:val="00476617"/>
    <w:rsid w:val="0047704D"/>
    <w:rsid w:val="0048152C"/>
    <w:rsid w:val="0048598D"/>
    <w:rsid w:val="004977CB"/>
    <w:rsid w:val="004B7469"/>
    <w:rsid w:val="004F291A"/>
    <w:rsid w:val="004F2C80"/>
    <w:rsid w:val="00570372"/>
    <w:rsid w:val="005753F5"/>
    <w:rsid w:val="005A26BC"/>
    <w:rsid w:val="005A26C6"/>
    <w:rsid w:val="005A450D"/>
    <w:rsid w:val="005B4ABE"/>
    <w:rsid w:val="00663B7E"/>
    <w:rsid w:val="006D12F2"/>
    <w:rsid w:val="007458D0"/>
    <w:rsid w:val="00776A9A"/>
    <w:rsid w:val="007A0D38"/>
    <w:rsid w:val="00805CCC"/>
    <w:rsid w:val="008179CE"/>
    <w:rsid w:val="00821D80"/>
    <w:rsid w:val="00824D98"/>
    <w:rsid w:val="00844EC5"/>
    <w:rsid w:val="0085442D"/>
    <w:rsid w:val="0087561F"/>
    <w:rsid w:val="00886685"/>
    <w:rsid w:val="008B0D2C"/>
    <w:rsid w:val="008B41F5"/>
    <w:rsid w:val="008C2918"/>
    <w:rsid w:val="008D2A6A"/>
    <w:rsid w:val="008E7FF0"/>
    <w:rsid w:val="0091228F"/>
    <w:rsid w:val="00943380"/>
    <w:rsid w:val="0095350A"/>
    <w:rsid w:val="00997A41"/>
    <w:rsid w:val="009B144F"/>
    <w:rsid w:val="009E096C"/>
    <w:rsid w:val="009F1421"/>
    <w:rsid w:val="00A06413"/>
    <w:rsid w:val="00A36DF4"/>
    <w:rsid w:val="00A51F59"/>
    <w:rsid w:val="00A700B6"/>
    <w:rsid w:val="00AF095E"/>
    <w:rsid w:val="00B37061"/>
    <w:rsid w:val="00B51BF0"/>
    <w:rsid w:val="00B551EC"/>
    <w:rsid w:val="00B7228A"/>
    <w:rsid w:val="00BB2454"/>
    <w:rsid w:val="00BC1075"/>
    <w:rsid w:val="00BF1A13"/>
    <w:rsid w:val="00BF62C2"/>
    <w:rsid w:val="00C26E16"/>
    <w:rsid w:val="00CA564B"/>
    <w:rsid w:val="00D5690D"/>
    <w:rsid w:val="00D66900"/>
    <w:rsid w:val="00DA6126"/>
    <w:rsid w:val="00DE6291"/>
    <w:rsid w:val="00E01672"/>
    <w:rsid w:val="00E56570"/>
    <w:rsid w:val="00E61BA5"/>
    <w:rsid w:val="00E6725E"/>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11D0"/>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9645636D434D4FD683791EDBA7FD0A3E">
    <w:name w:val="9645636D434D4FD683791EDBA7FD0A3E"/>
    <w:rsid w:val="001311D0"/>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0B9DBF-2E78-48E0-8AFD-63CABFFD6B5A}">
  <ds:schemaRefs>
    <ds:schemaRef ds:uri="http://schemas.openxmlformats.org/officeDocument/2006/bibliography"/>
  </ds:schemaRefs>
</ds:datastoreItem>
</file>

<file path=customXml/itemProps5.xml><?xml version="1.0" encoding="utf-8"?>
<ds:datastoreItem xmlns:ds="http://schemas.openxmlformats.org/officeDocument/2006/customXml" ds:itemID="{5FAF3BBB-541B-43D7-8D2D-73F5DE9A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TotalTime>
  <Pages>8</Pages>
  <Words>1870</Words>
  <Characters>10753</Characters>
  <Application>Microsoft Office Word</Application>
  <DocSecurity>0</DocSecurity>
  <Lines>129</Lines>
  <Paragraphs>32</Paragraphs>
  <ScaleCrop>false</ScaleCrop>
  <HeadingPairs>
    <vt:vector size="2" baseType="variant">
      <vt:variant>
        <vt:lpstr>Title</vt:lpstr>
      </vt:variant>
      <vt:variant>
        <vt:i4>1</vt:i4>
      </vt:variant>
    </vt:vector>
  </HeadingPairs>
  <TitlesOfParts>
    <vt:vector size="1" baseType="lpstr">
      <vt:lpstr>UE-group wake-up signal for NB-IoT</vt:lpstr>
    </vt:vector>
  </TitlesOfParts>
  <Company>Intel</Company>
  <LinksUpToDate>false</LinksUpToDate>
  <CharactersWithSpaces>12591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UE-group wake-up signal for NB-IoT</dc:title>
  <dc:subject>1-190552</dc:subject>
  <dc:creator>Morozov, Gregory</dc:creator>
  <cp:keywords>CTPClassification=CTP_PUBLIC:VisualMarkings=, CTPClassification=CTP_NT</cp:keywords>
  <dc:description>Reno, USA, 13th – 17th May, 2019</dc:description>
  <cp:lastModifiedBy>Chatterjee, Debdeep</cp:lastModifiedBy>
  <cp:revision>3</cp:revision>
  <cp:lastPrinted>2011-11-09T22:49:00Z</cp:lastPrinted>
  <dcterms:created xsi:type="dcterms:W3CDTF">2019-05-04T06:21:00Z</dcterms:created>
  <dcterms:modified xsi:type="dcterms:W3CDTF">2019-05-04T06:23:00Z</dcterms:modified>
  <cp:category>#97</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b6a82d13-f655-4da1-a964-fe0c6da53e17</vt:lpwstr>
  </property>
  <property fmtid="{D5CDD505-2E9C-101B-9397-08002B2CF9AE}" pid="4" name="CTP_TimeStamp">
    <vt:lpwstr>2019-05-04 01:13:27Z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